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65114" w:rsidP="00F65114">
            <w:pPr>
              <w:rPr>
                <w:b/>
              </w:rPr>
            </w:pPr>
            <w:r>
              <w:rPr>
                <w:rStyle w:val="Firstpagetablebold"/>
              </w:rPr>
              <w:t>9 February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F65114">
            <w:pPr>
              <w:rPr>
                <w:rStyle w:val="Firstpagetablebold"/>
              </w:rPr>
            </w:pPr>
            <w:r w:rsidRPr="001356F1">
              <w:rPr>
                <w:rStyle w:val="Firstpagetablebold"/>
              </w:rPr>
              <w:t xml:space="preserve">Head of </w:t>
            </w:r>
            <w:r w:rsidR="00F65114">
              <w:rPr>
                <w:rStyle w:val="Firstpagetablebold"/>
              </w:rPr>
              <w:t xml:space="preserve">Community </w:t>
            </w:r>
            <w:r w:rsidRPr="001356F1">
              <w:rPr>
                <w:rStyle w:val="Firstpagetablebold"/>
              </w:rPr>
              <w:t>Service</w:t>
            </w:r>
            <w:r w:rsidR="00F65114">
              <w:rPr>
                <w:rStyle w:val="Firstpagetablebold"/>
              </w:rPr>
              <w:t>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65114" w:rsidP="004A6D2F">
            <w:pPr>
              <w:rPr>
                <w:rStyle w:val="Firstpagetablebold"/>
              </w:rPr>
            </w:pPr>
            <w:r>
              <w:rPr>
                <w:rStyle w:val="Firstpagetablebold"/>
              </w:rPr>
              <w:t>Grant Allocations to Community and Voluntary Organisations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E456B" w:rsidP="000F4751">
            <w:r>
              <w:t>To allocate grants to community and voluntary organisations through the Community Grants Programme</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803A51">
            <w:r w:rsidRPr="001356F1">
              <w:t>C</w:t>
            </w:r>
            <w:r w:rsidR="001C02CD">
              <w:t>llrs</w:t>
            </w:r>
            <w:r w:rsidRPr="001356F1">
              <w:t xml:space="preserve"> </w:t>
            </w:r>
            <w:proofErr w:type="spellStart"/>
            <w:r w:rsidR="008E456B">
              <w:t>Simm</w:t>
            </w:r>
            <w:proofErr w:type="spellEnd"/>
            <w:r w:rsidR="008E456B">
              <w:t xml:space="preserve">, Culture </w:t>
            </w:r>
            <w:r w:rsidR="001C02CD">
              <w:t>and Communities; and</w:t>
            </w:r>
            <w:r w:rsidR="008E456B">
              <w:t xml:space="preserve"> Brown, 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E456B" w:rsidP="005F7F7E">
            <w:r>
              <w:t>Strong and Active Communities</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E456B" w:rsidP="005F7F7E">
            <w:r>
              <w:t>Oxford City Council Corporate Plan</w:t>
            </w:r>
          </w:p>
        </w:tc>
      </w:tr>
      <w:tr w:rsidR="005F7F7E" w:rsidRPr="00975B07" w:rsidTr="00A46E98">
        <w:trPr>
          <w:trHeight w:val="413"/>
        </w:trPr>
        <w:tc>
          <w:tcPr>
            <w:tcW w:w="8845" w:type="dxa"/>
            <w:gridSpan w:val="3"/>
            <w:tcBorders>
              <w:bottom w:val="single" w:sz="8" w:space="0" w:color="000000"/>
            </w:tcBorders>
          </w:tcPr>
          <w:p w:rsidR="005F7F7E" w:rsidRPr="00975B07" w:rsidRDefault="001C02CD" w:rsidP="004A6D2F">
            <w:r>
              <w:rPr>
                <w:rStyle w:val="Firstpagetablebold"/>
              </w:rPr>
              <w:t>Recommendations</w:t>
            </w:r>
            <w:r w:rsidR="005F7F7E">
              <w:rPr>
                <w:rStyle w:val="Firstpagetablebold"/>
              </w:rPr>
              <w:t>:</w:t>
            </w:r>
            <w:r>
              <w:rPr>
                <w:rStyle w:val="Firstpagetablebold"/>
              </w:rPr>
              <w:t xml:space="preserve"> </w:t>
            </w:r>
            <w:r w:rsidR="005F7F7E" w:rsidRPr="001C02CD">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340ABA" w:rsidRDefault="005C0FF4" w:rsidP="005C0FF4">
            <w:pPr>
              <w:rPr>
                <w:b/>
              </w:rPr>
            </w:pPr>
            <w:r w:rsidRPr="001C02CD">
              <w:rPr>
                <w:rStyle w:val="Firstpagetablebold"/>
              </w:rPr>
              <w:t>Approve</w:t>
            </w:r>
            <w:r w:rsidRPr="00340ABA">
              <w:rPr>
                <w:rStyle w:val="Firstpagetablebold"/>
                <w:b w:val="0"/>
              </w:rPr>
              <w:t xml:space="preserve"> the recommendations for the 2017/2018 commissioning programme as set out in Appendix 1</w:t>
            </w:r>
            <w:r w:rsidR="002069B3" w:rsidRPr="00340ABA">
              <w:rPr>
                <w:b/>
              </w:rPr>
              <w:t>;</w:t>
            </w:r>
            <w:r w:rsidR="0030208D" w:rsidRPr="00340ABA">
              <w:rPr>
                <w:b/>
              </w:rPr>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340ABA" w:rsidRDefault="005C0FF4" w:rsidP="005C0FF4">
            <w:pPr>
              <w:rPr>
                <w:b/>
              </w:rPr>
            </w:pPr>
            <w:r w:rsidRPr="001C02CD">
              <w:rPr>
                <w:rStyle w:val="Firstpagetablebold"/>
              </w:rPr>
              <w:t>Approve</w:t>
            </w:r>
            <w:r w:rsidRPr="00340ABA">
              <w:rPr>
                <w:rStyle w:val="Firstpagetablebold"/>
                <w:b w:val="0"/>
              </w:rPr>
              <w:t xml:space="preserve"> the recommendations for applications received to the grants annual open bidding programme as set out in Appendix 2 </w:t>
            </w:r>
            <w:r w:rsidR="002069B3" w:rsidRPr="00340ABA">
              <w:rPr>
                <w:b/>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340ABA" w:rsidRDefault="005C0FF4" w:rsidP="00453F8E">
            <w:pPr>
              <w:rPr>
                <w:b/>
              </w:rPr>
            </w:pPr>
            <w:r w:rsidRPr="001C02CD">
              <w:rPr>
                <w:rStyle w:val="Firstpagetablebold"/>
              </w:rPr>
              <w:t>Delegate authority</w:t>
            </w:r>
            <w:r w:rsidRPr="00340ABA">
              <w:rPr>
                <w:rStyle w:val="Firstpagetablebold"/>
                <w:b w:val="0"/>
              </w:rPr>
              <w:t xml:space="preserve"> to the Executive Director for Organisational Development and Corporate Services in consultation with the</w:t>
            </w:r>
            <w:r w:rsidR="00453F8E">
              <w:rPr>
                <w:rStyle w:val="Firstpagetablebold"/>
                <w:b w:val="0"/>
              </w:rPr>
              <w:t xml:space="preserve"> Board </w:t>
            </w:r>
            <w:r w:rsidRPr="00340ABA">
              <w:rPr>
                <w:rStyle w:val="Firstpagetablebold"/>
                <w:b w:val="0"/>
              </w:rPr>
              <w:t xml:space="preserve">Members for Customer and Corporate Services and Culture and Communities to allocate </w:t>
            </w:r>
            <w:r w:rsidR="00340ABA" w:rsidRPr="00340ABA">
              <w:rPr>
                <w:rStyle w:val="Firstpagetablebold"/>
                <w:b w:val="0"/>
              </w:rPr>
              <w:t>the residual funding in the Advice and Money Management commissioning theme.</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40ABA" w:rsidP="00340ABA">
            <w:r>
              <w:t xml:space="preserve">2017/2018 recommendations for the community and voluntary organisations grants commissioning programme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340ABA" w:rsidP="004A6D2F">
            <w:r>
              <w:t>Grant applications received to the 2017/2018 open bidding grants programme.</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340ABA" w:rsidP="004A6D2F">
            <w:r>
              <w:t>Evaluation Framework</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340ABA" w:rsidP="004A6D2F">
            <w:r>
              <w:t>Risk Register.</w:t>
            </w:r>
          </w:p>
        </w:tc>
      </w:tr>
    </w:tbl>
    <w:p w:rsidR="00340ABA" w:rsidRDefault="00340ABA" w:rsidP="00340ABA">
      <w:pPr>
        <w:pStyle w:val="Heading1"/>
        <w:spacing w:before="0" w:after="0"/>
      </w:pPr>
    </w:p>
    <w:p w:rsidR="00340ABA" w:rsidRDefault="00340ABA" w:rsidP="00340ABA">
      <w:pPr>
        <w:pStyle w:val="Heading1"/>
        <w:spacing w:before="0" w:after="0"/>
        <w:jc w:val="both"/>
      </w:pPr>
      <w:r w:rsidRPr="005C06BF">
        <w:t xml:space="preserve">Introduction </w:t>
      </w:r>
    </w:p>
    <w:p w:rsidR="00340ABA" w:rsidRPr="005C06BF" w:rsidRDefault="00340ABA" w:rsidP="00453F8E">
      <w:pPr>
        <w:pStyle w:val="bParagraphtext"/>
      </w:pPr>
      <w:r>
        <w:t xml:space="preserve">Oxford </w:t>
      </w:r>
      <w:r w:rsidRPr="00957F38">
        <w:t>City Council support</w:t>
      </w:r>
      <w:r>
        <w:t>s</w:t>
      </w:r>
      <w:r w:rsidRPr="00957F38">
        <w:t xml:space="preserve"> the local community </w:t>
      </w:r>
      <w:r>
        <w:t xml:space="preserve">and </w:t>
      </w:r>
      <w:r w:rsidRPr="00957F38">
        <w:t>voluntary sector with grant aid.</w:t>
      </w:r>
      <w:r>
        <w:t xml:space="preserve"> </w:t>
      </w:r>
      <w:r w:rsidRPr="00957F38">
        <w:t xml:space="preserve">The community and voluntary organisations </w:t>
      </w:r>
      <w:r>
        <w:t xml:space="preserve">(CVO’s) </w:t>
      </w:r>
      <w:r w:rsidRPr="00957F38">
        <w:t>grants programme</w:t>
      </w:r>
      <w:r>
        <w:t xml:space="preserve"> </w:t>
      </w:r>
      <w:r w:rsidRPr="00957F38">
        <w:t xml:space="preserve">is </w:t>
      </w:r>
      <w:r>
        <w:t>co-ordinated</w:t>
      </w:r>
      <w:r w:rsidRPr="00957F38">
        <w:t xml:space="preserve"> </w:t>
      </w:r>
      <w:r>
        <w:t xml:space="preserve">and </w:t>
      </w:r>
      <w:r w:rsidRPr="00957F38">
        <w:t xml:space="preserve">monitored through </w:t>
      </w:r>
      <w:r>
        <w:t>the Communities Team in consultation with lead commissioning officers and their portfolio holders.</w:t>
      </w:r>
    </w:p>
    <w:p w:rsidR="00340ABA" w:rsidRPr="009A5EC7" w:rsidRDefault="00340ABA" w:rsidP="001C02CD">
      <w:pPr>
        <w:jc w:val="both"/>
        <w:rPr>
          <w:rFonts w:cs="Arial"/>
          <w:sz w:val="16"/>
          <w:szCs w:val="16"/>
        </w:rPr>
      </w:pPr>
    </w:p>
    <w:p w:rsidR="00340ABA" w:rsidRPr="00453F8E" w:rsidRDefault="00340ABA" w:rsidP="00453F8E">
      <w:pPr>
        <w:pStyle w:val="bParagraphtext"/>
      </w:pPr>
      <w:r w:rsidRPr="005C06BF">
        <w:t xml:space="preserve">The </w:t>
      </w:r>
      <w:r>
        <w:t xml:space="preserve">CVO’s </w:t>
      </w:r>
      <w:r w:rsidRPr="005C06BF">
        <w:t>grants programme has two elements:-</w:t>
      </w:r>
    </w:p>
    <w:p w:rsidR="00340ABA" w:rsidRPr="005C06BF" w:rsidRDefault="00340ABA" w:rsidP="00453F8E">
      <w:pPr>
        <w:pStyle w:val="Bulletpoints"/>
      </w:pPr>
      <w:r w:rsidRPr="005C06BF">
        <w:t>Open Bidding – one off grants</w:t>
      </w:r>
      <w:r>
        <w:t xml:space="preserve"> that can be applied for on an </w:t>
      </w:r>
      <w:r w:rsidRPr="005C06BF">
        <w:t>annual basis or on a smaller scale throughout the year.</w:t>
      </w:r>
    </w:p>
    <w:p w:rsidR="00340ABA" w:rsidRPr="005C06BF" w:rsidRDefault="00340ABA" w:rsidP="00453F8E">
      <w:pPr>
        <w:pStyle w:val="Bulletpoints"/>
      </w:pPr>
      <w:r w:rsidRPr="005C06BF">
        <w:t>Commissioning – fundi</w:t>
      </w:r>
      <w:bookmarkStart w:id="0" w:name="_GoBack"/>
      <w:bookmarkEnd w:id="0"/>
      <w:r w:rsidRPr="005C06BF">
        <w:t xml:space="preserve">ng for activities that have been identified by the Council as making a substantial contribution to the achievement of our corporate </w:t>
      </w:r>
      <w:r>
        <w:t>priorities</w:t>
      </w:r>
      <w:r w:rsidRPr="005C06BF">
        <w:t>.</w:t>
      </w:r>
    </w:p>
    <w:p w:rsidR="00340ABA" w:rsidRDefault="00340ABA" w:rsidP="00340ABA">
      <w:pPr>
        <w:spacing w:after="0"/>
        <w:jc w:val="both"/>
        <w:rPr>
          <w:rFonts w:cs="Arial"/>
        </w:rPr>
      </w:pPr>
    </w:p>
    <w:p w:rsidR="00340ABA" w:rsidRDefault="00340ABA" w:rsidP="00453F8E">
      <w:pPr>
        <w:pStyle w:val="bParagraphtext"/>
      </w:pPr>
      <w:r>
        <w:t>The proposal in this report is to broadly maintain the funding pattern established in previous years through the City Council’s prospectus and maintaining existing relationships and funding patterns for 2017/18.</w:t>
      </w:r>
    </w:p>
    <w:p w:rsidR="00340ABA" w:rsidRDefault="00340ABA" w:rsidP="00340ABA">
      <w:pPr>
        <w:spacing w:after="0"/>
        <w:ind w:left="720" w:hanging="720"/>
        <w:jc w:val="both"/>
        <w:rPr>
          <w:rFonts w:cs="Arial"/>
        </w:rPr>
      </w:pPr>
    </w:p>
    <w:p w:rsidR="00340ABA" w:rsidRPr="00CE358C" w:rsidRDefault="00340ABA" w:rsidP="00453F8E">
      <w:pPr>
        <w:pStyle w:val="bParagraphtext"/>
      </w:pPr>
      <w:r w:rsidRPr="00453F8E">
        <w:rPr>
          <w:rStyle w:val="bParagraphtextChar"/>
        </w:rPr>
        <w:t>I</w:t>
      </w:r>
      <w:r w:rsidRPr="00CE358C">
        <w:t xml:space="preserve">n recent years the </w:t>
      </w:r>
      <w:r>
        <w:t>funding</w:t>
      </w:r>
      <w:r w:rsidRPr="00CE358C">
        <w:t xml:space="preserve"> </w:t>
      </w:r>
      <w:r>
        <w:t xml:space="preserve">has </w:t>
      </w:r>
      <w:r w:rsidRPr="00CE358C">
        <w:t xml:space="preserve">come under increasingly intense competition as other sources </w:t>
      </w:r>
      <w:r>
        <w:t xml:space="preserve">are reduced reflecting the general tightening in public sector funding, particularly for supported housing and the children’s centres.  </w:t>
      </w:r>
    </w:p>
    <w:p w:rsidR="00340ABA" w:rsidRPr="00651B1E" w:rsidRDefault="00340ABA" w:rsidP="00340ABA">
      <w:pPr>
        <w:spacing w:after="0"/>
        <w:jc w:val="both"/>
        <w:rPr>
          <w:rFonts w:cs="Arial"/>
        </w:rPr>
      </w:pPr>
    </w:p>
    <w:p w:rsidR="00340ABA" w:rsidRDefault="00340ABA" w:rsidP="00340ABA">
      <w:pPr>
        <w:jc w:val="both"/>
        <w:rPr>
          <w:rFonts w:cs="Arial"/>
          <w:b/>
        </w:rPr>
      </w:pPr>
      <w:r w:rsidRPr="005C06BF">
        <w:rPr>
          <w:rFonts w:cs="Arial"/>
          <w:b/>
        </w:rPr>
        <w:t>Grants Budget</w:t>
      </w:r>
    </w:p>
    <w:p w:rsidR="00340ABA" w:rsidRPr="005C06BF" w:rsidRDefault="00340ABA" w:rsidP="00453F8E">
      <w:pPr>
        <w:pStyle w:val="bParagraphtext"/>
      </w:pPr>
      <w:r w:rsidRPr="005C06BF">
        <w:t xml:space="preserve">The total indicative budget for the </w:t>
      </w:r>
      <w:r>
        <w:t xml:space="preserve">CVO’s </w:t>
      </w:r>
      <w:r w:rsidRPr="005C06BF">
        <w:t>grants programme, as currently proposed</w:t>
      </w:r>
      <w:r>
        <w:t xml:space="preserve"> for 2017/2018</w:t>
      </w:r>
      <w:r w:rsidRPr="005C06BF">
        <w:t>, is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559"/>
      </w:tblGrid>
      <w:tr w:rsidR="00340ABA" w:rsidRPr="002426A0" w:rsidTr="004263B3">
        <w:tc>
          <w:tcPr>
            <w:tcW w:w="7196" w:type="dxa"/>
            <w:tcBorders>
              <w:top w:val="nil"/>
              <w:left w:val="nil"/>
            </w:tcBorders>
            <w:shd w:val="clear" w:color="auto" w:fill="auto"/>
          </w:tcPr>
          <w:p w:rsidR="00340ABA" w:rsidRDefault="00340ABA" w:rsidP="004263B3">
            <w:pPr>
              <w:jc w:val="both"/>
              <w:rPr>
                <w:b/>
              </w:rPr>
            </w:pPr>
            <w:r w:rsidRPr="002426A0">
              <w:rPr>
                <w:b/>
              </w:rPr>
              <w:t>Table 1</w:t>
            </w:r>
          </w:p>
          <w:p w:rsidR="00340ABA" w:rsidRPr="002426A0" w:rsidRDefault="00340ABA" w:rsidP="004263B3">
            <w:pPr>
              <w:jc w:val="both"/>
              <w:rPr>
                <w:b/>
              </w:rPr>
            </w:pPr>
          </w:p>
        </w:tc>
        <w:tc>
          <w:tcPr>
            <w:tcW w:w="1559" w:type="dxa"/>
          </w:tcPr>
          <w:p w:rsidR="00340ABA" w:rsidRDefault="00340ABA" w:rsidP="004263B3">
            <w:pPr>
              <w:jc w:val="both"/>
              <w:rPr>
                <w:b/>
              </w:rPr>
            </w:pPr>
            <w:r>
              <w:rPr>
                <w:b/>
              </w:rPr>
              <w:t>2017/18</w:t>
            </w:r>
          </w:p>
          <w:p w:rsidR="00340ABA" w:rsidRPr="002426A0" w:rsidRDefault="00340ABA" w:rsidP="004263B3">
            <w:pPr>
              <w:jc w:val="both"/>
              <w:rPr>
                <w:b/>
              </w:rPr>
            </w:pPr>
            <w:r>
              <w:rPr>
                <w:b/>
              </w:rPr>
              <w:t xml:space="preserve">Budget </w:t>
            </w:r>
          </w:p>
        </w:tc>
      </w:tr>
      <w:tr w:rsidR="00340ABA" w:rsidRPr="005C06BF" w:rsidTr="004263B3">
        <w:tc>
          <w:tcPr>
            <w:tcW w:w="7196" w:type="dxa"/>
            <w:shd w:val="clear" w:color="auto" w:fill="auto"/>
          </w:tcPr>
          <w:p w:rsidR="00340ABA" w:rsidRPr="005C06BF" w:rsidRDefault="00340ABA" w:rsidP="004263B3">
            <w:pPr>
              <w:jc w:val="both"/>
            </w:pPr>
            <w:r>
              <w:t xml:space="preserve"> Advice &amp; Money Management commissioning theme</w:t>
            </w:r>
          </w:p>
        </w:tc>
        <w:tc>
          <w:tcPr>
            <w:tcW w:w="1559" w:type="dxa"/>
          </w:tcPr>
          <w:p w:rsidR="00340ABA" w:rsidRPr="005C06BF" w:rsidRDefault="00340ABA" w:rsidP="004263B3">
            <w:pPr>
              <w:jc w:val="right"/>
            </w:pPr>
            <w:r>
              <w:t>£518,379</w:t>
            </w:r>
          </w:p>
        </w:tc>
      </w:tr>
      <w:tr w:rsidR="00340ABA" w:rsidRPr="005C06BF" w:rsidTr="004263B3">
        <w:tc>
          <w:tcPr>
            <w:tcW w:w="7196" w:type="dxa"/>
            <w:shd w:val="clear" w:color="auto" w:fill="auto"/>
          </w:tcPr>
          <w:p w:rsidR="00340ABA" w:rsidRPr="005C06BF" w:rsidRDefault="00340ABA" w:rsidP="004263B3">
            <w:pPr>
              <w:jc w:val="both"/>
            </w:pPr>
            <w:r>
              <w:t xml:space="preserve">Homelessness commissioning theme </w:t>
            </w:r>
          </w:p>
        </w:tc>
        <w:tc>
          <w:tcPr>
            <w:tcW w:w="1559" w:type="dxa"/>
          </w:tcPr>
          <w:p w:rsidR="00340ABA" w:rsidRDefault="00340ABA" w:rsidP="004263B3">
            <w:pPr>
              <w:jc w:val="right"/>
            </w:pPr>
            <w:r>
              <w:t>£442,279</w:t>
            </w:r>
          </w:p>
        </w:tc>
      </w:tr>
      <w:tr w:rsidR="00340ABA" w:rsidRPr="005C06BF" w:rsidTr="004263B3">
        <w:tc>
          <w:tcPr>
            <w:tcW w:w="7196" w:type="dxa"/>
            <w:shd w:val="clear" w:color="auto" w:fill="auto"/>
          </w:tcPr>
          <w:p w:rsidR="00340ABA" w:rsidRPr="005C06BF" w:rsidRDefault="00340ABA" w:rsidP="004263B3">
            <w:pPr>
              <w:jc w:val="both"/>
            </w:pPr>
            <w:r>
              <w:t>Inclusive arts &amp; culture commissioning theme</w:t>
            </w:r>
          </w:p>
        </w:tc>
        <w:tc>
          <w:tcPr>
            <w:tcW w:w="1559" w:type="dxa"/>
          </w:tcPr>
          <w:p w:rsidR="00340ABA" w:rsidRDefault="00340ABA" w:rsidP="004263B3">
            <w:pPr>
              <w:jc w:val="right"/>
            </w:pPr>
            <w:r>
              <w:t>£235,262</w:t>
            </w:r>
          </w:p>
        </w:tc>
      </w:tr>
      <w:tr w:rsidR="00340ABA" w:rsidRPr="005C06BF" w:rsidTr="004263B3">
        <w:tc>
          <w:tcPr>
            <w:tcW w:w="7196" w:type="dxa"/>
            <w:shd w:val="clear" w:color="auto" w:fill="auto"/>
          </w:tcPr>
          <w:p w:rsidR="00340ABA" w:rsidRPr="005C06BF" w:rsidRDefault="00340ABA" w:rsidP="004263B3">
            <w:pPr>
              <w:jc w:val="both"/>
            </w:pPr>
            <w:r>
              <w:t xml:space="preserve">Community Safety commissioning theme </w:t>
            </w:r>
          </w:p>
        </w:tc>
        <w:tc>
          <w:tcPr>
            <w:tcW w:w="1559" w:type="dxa"/>
          </w:tcPr>
          <w:p w:rsidR="00340ABA" w:rsidRDefault="00340ABA" w:rsidP="004263B3">
            <w:pPr>
              <w:jc w:val="right"/>
            </w:pPr>
            <w:r>
              <w:t>£61,082</w:t>
            </w:r>
          </w:p>
        </w:tc>
      </w:tr>
      <w:tr w:rsidR="00340ABA" w:rsidRPr="005C06BF" w:rsidTr="004263B3">
        <w:tc>
          <w:tcPr>
            <w:tcW w:w="7196" w:type="dxa"/>
            <w:shd w:val="clear" w:color="auto" w:fill="auto"/>
          </w:tcPr>
          <w:p w:rsidR="00340ABA" w:rsidRPr="005C06BF" w:rsidRDefault="00340ABA" w:rsidP="004263B3">
            <w:pPr>
              <w:jc w:val="both"/>
            </w:pPr>
            <w:r>
              <w:t xml:space="preserve">Community &amp; voluntary sector infrastructure commissioning theme </w:t>
            </w:r>
          </w:p>
        </w:tc>
        <w:tc>
          <w:tcPr>
            <w:tcW w:w="1559" w:type="dxa"/>
          </w:tcPr>
          <w:p w:rsidR="00340ABA" w:rsidRDefault="00340ABA" w:rsidP="004263B3">
            <w:pPr>
              <w:jc w:val="right"/>
            </w:pPr>
            <w:r>
              <w:t>£43,736</w:t>
            </w:r>
          </w:p>
        </w:tc>
      </w:tr>
      <w:tr w:rsidR="00340ABA" w:rsidRPr="005C06BF" w:rsidTr="004263B3">
        <w:tc>
          <w:tcPr>
            <w:tcW w:w="7196" w:type="dxa"/>
            <w:shd w:val="clear" w:color="auto" w:fill="auto"/>
          </w:tcPr>
          <w:p w:rsidR="00340ABA" w:rsidRPr="005C06BF" w:rsidRDefault="00340ABA" w:rsidP="004263B3">
            <w:pPr>
              <w:jc w:val="both"/>
            </w:pPr>
            <w:r>
              <w:t>Inclusive leisure &amp; play for disabled children and young people commissioning theme</w:t>
            </w:r>
          </w:p>
        </w:tc>
        <w:tc>
          <w:tcPr>
            <w:tcW w:w="1559" w:type="dxa"/>
          </w:tcPr>
          <w:p w:rsidR="00340ABA" w:rsidRDefault="00340ABA" w:rsidP="004263B3">
            <w:pPr>
              <w:jc w:val="right"/>
            </w:pPr>
            <w:r>
              <w:t>£15,000</w:t>
            </w:r>
          </w:p>
        </w:tc>
      </w:tr>
      <w:tr w:rsidR="00340ABA" w:rsidRPr="005C06BF" w:rsidTr="004263B3">
        <w:tc>
          <w:tcPr>
            <w:tcW w:w="7196" w:type="dxa"/>
            <w:shd w:val="clear" w:color="auto" w:fill="auto"/>
          </w:tcPr>
          <w:p w:rsidR="00340ABA" w:rsidRPr="005C06BF" w:rsidRDefault="00340ABA" w:rsidP="004263B3">
            <w:pPr>
              <w:jc w:val="both"/>
            </w:pPr>
            <w:r w:rsidRPr="005C06BF">
              <w:t>Open Bidding</w:t>
            </w:r>
          </w:p>
        </w:tc>
        <w:tc>
          <w:tcPr>
            <w:tcW w:w="1559" w:type="dxa"/>
          </w:tcPr>
          <w:p w:rsidR="00340ABA" w:rsidRDefault="00340ABA" w:rsidP="004263B3">
            <w:pPr>
              <w:jc w:val="right"/>
            </w:pPr>
            <w:r>
              <w:t>£107,500</w:t>
            </w:r>
          </w:p>
        </w:tc>
      </w:tr>
      <w:tr w:rsidR="00340ABA" w:rsidRPr="005C06BF" w:rsidTr="004263B3">
        <w:tc>
          <w:tcPr>
            <w:tcW w:w="7196" w:type="dxa"/>
            <w:shd w:val="clear" w:color="auto" w:fill="auto"/>
          </w:tcPr>
          <w:p w:rsidR="00340ABA" w:rsidRPr="005C06BF" w:rsidRDefault="00340ABA" w:rsidP="004263B3">
            <w:pPr>
              <w:jc w:val="both"/>
            </w:pPr>
            <w:r>
              <w:t>S</w:t>
            </w:r>
            <w:r w:rsidRPr="005C06BF">
              <w:t xml:space="preserve">mall grants </w:t>
            </w:r>
            <w:r>
              <w:t xml:space="preserve">programme to run during the year. </w:t>
            </w:r>
          </w:p>
        </w:tc>
        <w:tc>
          <w:tcPr>
            <w:tcW w:w="1559" w:type="dxa"/>
          </w:tcPr>
          <w:p w:rsidR="00340ABA" w:rsidRDefault="00340ABA" w:rsidP="004263B3">
            <w:pPr>
              <w:jc w:val="right"/>
            </w:pPr>
            <w:r>
              <w:t>£7,732</w:t>
            </w:r>
          </w:p>
        </w:tc>
      </w:tr>
      <w:tr w:rsidR="00340ABA" w:rsidRPr="002426A0" w:rsidTr="004263B3">
        <w:tc>
          <w:tcPr>
            <w:tcW w:w="7196" w:type="dxa"/>
            <w:shd w:val="clear" w:color="auto" w:fill="auto"/>
          </w:tcPr>
          <w:p w:rsidR="00340ABA" w:rsidRPr="002426A0" w:rsidRDefault="00340ABA" w:rsidP="004263B3">
            <w:pPr>
              <w:jc w:val="both"/>
              <w:rPr>
                <w:b/>
              </w:rPr>
            </w:pPr>
            <w:r w:rsidRPr="002426A0">
              <w:rPr>
                <w:b/>
              </w:rPr>
              <w:t xml:space="preserve">                                       Total</w:t>
            </w:r>
          </w:p>
        </w:tc>
        <w:tc>
          <w:tcPr>
            <w:tcW w:w="1559" w:type="dxa"/>
          </w:tcPr>
          <w:p w:rsidR="00340ABA" w:rsidRPr="002426A0" w:rsidRDefault="00340ABA" w:rsidP="004263B3">
            <w:pPr>
              <w:jc w:val="right"/>
              <w:rPr>
                <w:b/>
              </w:rPr>
            </w:pPr>
            <w:r>
              <w:rPr>
                <w:b/>
              </w:rPr>
              <w:t>£1,430,970</w:t>
            </w:r>
          </w:p>
        </w:tc>
      </w:tr>
    </w:tbl>
    <w:p w:rsidR="00340ABA" w:rsidRDefault="00340ABA" w:rsidP="00340ABA">
      <w:pPr>
        <w:jc w:val="both"/>
        <w:rPr>
          <w:sz w:val="16"/>
          <w:szCs w:val="16"/>
        </w:rPr>
      </w:pPr>
    </w:p>
    <w:p w:rsidR="001C02CD" w:rsidRDefault="001C02CD" w:rsidP="00340ABA">
      <w:pPr>
        <w:jc w:val="both"/>
        <w:rPr>
          <w:sz w:val="16"/>
          <w:szCs w:val="16"/>
        </w:rPr>
      </w:pPr>
    </w:p>
    <w:p w:rsidR="00803A51" w:rsidRDefault="00803A51" w:rsidP="00340ABA">
      <w:pPr>
        <w:jc w:val="both"/>
        <w:rPr>
          <w:sz w:val="16"/>
          <w:szCs w:val="16"/>
        </w:rPr>
      </w:pPr>
    </w:p>
    <w:p w:rsidR="00453F8E" w:rsidRPr="0009592D" w:rsidRDefault="00453F8E" w:rsidP="00340ABA">
      <w:pPr>
        <w:jc w:val="both"/>
        <w:rPr>
          <w:sz w:val="16"/>
          <w:szCs w:val="16"/>
        </w:rPr>
      </w:pPr>
    </w:p>
    <w:p w:rsidR="00340ABA" w:rsidRDefault="00340ABA" w:rsidP="00340ABA">
      <w:pPr>
        <w:jc w:val="both"/>
        <w:rPr>
          <w:b/>
        </w:rPr>
      </w:pPr>
      <w:r w:rsidRPr="005C06BF">
        <w:rPr>
          <w:b/>
        </w:rPr>
        <w:lastRenderedPageBreak/>
        <w:t>Commissioning</w:t>
      </w:r>
    </w:p>
    <w:p w:rsidR="00340ABA" w:rsidRDefault="00340ABA" w:rsidP="00453F8E">
      <w:pPr>
        <w:pStyle w:val="bParagraphtext"/>
      </w:pPr>
      <w:r>
        <w:t>During 2016/17 officers have worked closely with the commissioned organisations. Achievements by funded organisations will be reported in the next annual monitoring report to the City Executive Board later in 2017.</w:t>
      </w:r>
    </w:p>
    <w:p w:rsidR="00340ABA" w:rsidRDefault="00340ABA" w:rsidP="00340ABA">
      <w:pPr>
        <w:spacing w:after="0"/>
        <w:jc w:val="both"/>
        <w:rPr>
          <w:sz w:val="16"/>
          <w:szCs w:val="16"/>
        </w:rPr>
      </w:pPr>
    </w:p>
    <w:p w:rsidR="00340ABA" w:rsidRPr="00F818CB" w:rsidRDefault="00340ABA" w:rsidP="00453F8E">
      <w:pPr>
        <w:pStyle w:val="bParagraphtext"/>
      </w:pPr>
      <w:r>
        <w:t>This report recommends allocations for the third year of a 3 year commissioning programme ending 31 March 2018.</w:t>
      </w:r>
    </w:p>
    <w:p w:rsidR="00340ABA" w:rsidRDefault="00340ABA" w:rsidP="00340ABA">
      <w:pPr>
        <w:spacing w:after="0"/>
        <w:jc w:val="both"/>
        <w:rPr>
          <w:sz w:val="16"/>
          <w:szCs w:val="16"/>
        </w:rPr>
      </w:pPr>
    </w:p>
    <w:p w:rsidR="00340ABA" w:rsidRDefault="00340ABA" w:rsidP="00453F8E">
      <w:pPr>
        <w:pStyle w:val="bParagraphtext"/>
      </w:pPr>
      <w:r>
        <w:t xml:space="preserve">Commissioning themes, which remain the same as in previous years, were selected to prioritise grant funding for those most disadvantaged communities in our city.  A review of the prospectus for post 2018 will be undertaken during the first part of 2017/18. </w:t>
      </w:r>
    </w:p>
    <w:p w:rsidR="00340ABA" w:rsidRDefault="00340ABA" w:rsidP="00340ABA">
      <w:pPr>
        <w:spacing w:after="0"/>
        <w:ind w:left="720" w:hanging="720"/>
        <w:jc w:val="both"/>
        <w:rPr>
          <w:sz w:val="16"/>
          <w:szCs w:val="16"/>
        </w:rPr>
      </w:pPr>
    </w:p>
    <w:p w:rsidR="00340ABA" w:rsidRDefault="00340ABA" w:rsidP="00453F8E">
      <w:pPr>
        <w:pStyle w:val="bParagraphtext"/>
      </w:pPr>
      <w:r>
        <w:t>Based on the previous performance of commissioned organisations, some of the main achievements that we can expect to be delivered under each theme are:</w:t>
      </w:r>
    </w:p>
    <w:p w:rsidR="00340ABA" w:rsidRPr="00AE2386" w:rsidRDefault="00340ABA" w:rsidP="00340ABA">
      <w:pPr>
        <w:ind w:left="720"/>
        <w:jc w:val="both"/>
        <w:rPr>
          <w:sz w:val="16"/>
          <w:szCs w:val="16"/>
        </w:rPr>
      </w:pPr>
    </w:p>
    <w:p w:rsidR="00340ABA" w:rsidRDefault="00340ABA" w:rsidP="00453F8E">
      <w:pPr>
        <w:pStyle w:val="Bulletpoints"/>
      </w:pPr>
      <w:r>
        <w:t xml:space="preserve">People suffering hardship or distress will get the support they need from the advice centres. In particular by the provision of information, advice and assistance on all matters relating to welfare benefits and debt. </w:t>
      </w:r>
    </w:p>
    <w:p w:rsidR="00340ABA" w:rsidRPr="00A14437" w:rsidRDefault="00340ABA" w:rsidP="00453F8E">
      <w:pPr>
        <w:pStyle w:val="Bulletpoints"/>
        <w:rPr>
          <w:rFonts w:cs="Arial"/>
        </w:rPr>
      </w:pPr>
      <w:r w:rsidRPr="00A14437">
        <w:rPr>
          <w:rFonts w:cs="Arial"/>
        </w:rPr>
        <w:t>Children and young people from different societies will be supported to better understand the local context, stay safe and take advantage of opportunities.</w:t>
      </w:r>
    </w:p>
    <w:p w:rsidR="00340ABA" w:rsidRDefault="00340ABA" w:rsidP="00453F8E">
      <w:pPr>
        <w:pStyle w:val="Bulletpoints"/>
      </w:pPr>
      <w:r>
        <w:rPr>
          <w:rFonts w:cs="Arial"/>
        </w:rPr>
        <w:t>S</w:t>
      </w:r>
      <w:r w:rsidRPr="001003D3">
        <w:rPr>
          <w:rFonts w:cs="Arial"/>
        </w:rPr>
        <w:t xml:space="preserve">pecialist support for victims of violence, intimidation and abuse, </w:t>
      </w:r>
      <w:r>
        <w:rPr>
          <w:rFonts w:cs="Arial"/>
        </w:rPr>
        <w:t>will be provided giving practical and emotional support.</w:t>
      </w:r>
    </w:p>
    <w:p w:rsidR="00340ABA" w:rsidRPr="00130C17" w:rsidRDefault="00340ABA" w:rsidP="00453F8E">
      <w:pPr>
        <w:pStyle w:val="Bulletpoints"/>
      </w:pPr>
      <w:r>
        <w:rPr>
          <w:rFonts w:cs="Arial"/>
        </w:rPr>
        <w:t xml:space="preserve">There will be improved </w:t>
      </w:r>
      <w:r w:rsidRPr="00837C4A">
        <w:rPr>
          <w:rFonts w:cs="Arial"/>
        </w:rPr>
        <w:t xml:space="preserve">opportunities for the diverse range of communities in the city </w:t>
      </w:r>
      <w:r>
        <w:rPr>
          <w:rFonts w:cs="Arial"/>
        </w:rPr>
        <w:t xml:space="preserve">to </w:t>
      </w:r>
      <w:r w:rsidRPr="00837C4A">
        <w:rPr>
          <w:rFonts w:cs="Arial"/>
        </w:rPr>
        <w:t>actively participate in high quality cultural</w:t>
      </w:r>
      <w:r>
        <w:rPr>
          <w:rFonts w:cs="Arial"/>
        </w:rPr>
        <w:t xml:space="preserve"> activities and events.  This will be achieved by offering reduced and/or free tickets and places to low income families. </w:t>
      </w:r>
    </w:p>
    <w:p w:rsidR="00340ABA" w:rsidRDefault="00340ABA" w:rsidP="00453F8E">
      <w:pPr>
        <w:pStyle w:val="Bulletpoints"/>
      </w:pPr>
      <w:r>
        <w:rPr>
          <w:rFonts w:cs="Arial"/>
        </w:rPr>
        <w:t>Work will be done to support homeless people or those threatened with homelessness or rough sleeping into sustainable accommodation. They will be given opportunities to access education, training and employment.</w:t>
      </w:r>
    </w:p>
    <w:p w:rsidR="00340ABA" w:rsidRPr="007A42AF" w:rsidRDefault="00340ABA" w:rsidP="00453F8E">
      <w:pPr>
        <w:pStyle w:val="Bulletpoints"/>
        <w:rPr>
          <w:rFonts w:cs="Arial"/>
        </w:rPr>
      </w:pPr>
      <w:r w:rsidRPr="007A42AF">
        <w:rPr>
          <w:rFonts w:cs="Arial"/>
        </w:rPr>
        <w:t xml:space="preserve">Community &amp; voluntary organisations will be supported to bid for funding and improve their sustainability. </w:t>
      </w:r>
    </w:p>
    <w:p w:rsidR="00340ABA" w:rsidRPr="007A42AF" w:rsidRDefault="00340ABA" w:rsidP="00453F8E">
      <w:pPr>
        <w:pStyle w:val="Bulletpoints"/>
      </w:pPr>
      <w:r w:rsidRPr="007A42AF">
        <w:t>Volunteering will be promoted giving local people the opportunity to increase their skills, knowledge and confidence.</w:t>
      </w:r>
    </w:p>
    <w:p w:rsidR="00340ABA" w:rsidRPr="00903D0B" w:rsidRDefault="00340ABA" w:rsidP="00340ABA">
      <w:pPr>
        <w:spacing w:after="0"/>
        <w:jc w:val="both"/>
        <w:rPr>
          <w:sz w:val="16"/>
          <w:szCs w:val="16"/>
        </w:rPr>
      </w:pPr>
    </w:p>
    <w:p w:rsidR="00340ABA" w:rsidRDefault="00340ABA" w:rsidP="00453F8E">
      <w:pPr>
        <w:pStyle w:val="bParagraphtext"/>
      </w:pPr>
      <w:r>
        <w:t xml:space="preserve">Funding agreements will be put in place with each of the commissioned organisations and a feature of the agreement will be that funding in any given year will be subject to an assessment of performance and budget availability. </w:t>
      </w:r>
    </w:p>
    <w:p w:rsidR="00340ABA" w:rsidRDefault="00340ABA" w:rsidP="00340ABA">
      <w:pPr>
        <w:spacing w:after="0"/>
        <w:ind w:left="720" w:hanging="720"/>
        <w:jc w:val="both"/>
      </w:pPr>
    </w:p>
    <w:p w:rsidR="00340ABA" w:rsidRPr="00CE3AC4" w:rsidRDefault="00340ABA" w:rsidP="00453F8E">
      <w:pPr>
        <w:pStyle w:val="bParagraphtext"/>
        <w:rPr>
          <w:sz w:val="16"/>
          <w:szCs w:val="16"/>
        </w:rPr>
      </w:pPr>
      <w:r>
        <w:t xml:space="preserve">The Grants Officer works with a number of lead officers from other service areas that have specialist knowledge of specific commissioning themes. </w:t>
      </w:r>
    </w:p>
    <w:p w:rsidR="00340ABA" w:rsidRDefault="00340ABA" w:rsidP="00340ABA">
      <w:pPr>
        <w:spacing w:after="0"/>
        <w:jc w:val="both"/>
      </w:pPr>
    </w:p>
    <w:p w:rsidR="00340ABA" w:rsidRDefault="00340ABA" w:rsidP="00453F8E">
      <w:pPr>
        <w:pStyle w:val="bParagraphtext"/>
      </w:pPr>
      <w:r>
        <w:t xml:space="preserve">The 3 year commissioned advice services agreement (2015/2018) makes provision for agreeing on an annual basis a priority area to focus on. The priority for 2017/18 is still being negotiated with the Advice organisations, but the chosen priority will in </w:t>
      </w:r>
      <w:r>
        <w:lastRenderedPageBreak/>
        <w:t xml:space="preserve">part include supporting people to manage their money, dealing with debt and helping them maximise their income.  A specific set of outcome measures will be developed in partnership with the Advice Organisations. </w:t>
      </w:r>
    </w:p>
    <w:p w:rsidR="00340ABA" w:rsidRDefault="00340ABA" w:rsidP="00340ABA">
      <w:pPr>
        <w:spacing w:after="0"/>
        <w:jc w:val="both"/>
      </w:pPr>
      <w:r>
        <w:t xml:space="preserve"> </w:t>
      </w:r>
    </w:p>
    <w:p w:rsidR="00340ABA" w:rsidRDefault="004609AF" w:rsidP="00453F8E">
      <w:pPr>
        <w:pStyle w:val="bParagraphtext"/>
      </w:pPr>
      <w:r>
        <w:t xml:space="preserve">All but £20,000 has been allocated from the Advice and Money Management commissioning theme. It is proposed that this funding is reserved as an emergency pot to support organisation(s) where cuts have affected their work that supports the advice and money management theme plus the objectives of the Financial Inclusion Strategy which includes actions to help people support people into employment. The City Executive Board is recommended to delegate authority to the Executive Director for Organisational Development and Corporate Services in consultation with the Executive Members for Customer and Corporate Services and Culture and Communities to allocate the </w:t>
      </w:r>
      <w:proofErr w:type="gramStart"/>
      <w:r>
        <w:t xml:space="preserve">residual </w:t>
      </w:r>
      <w:r w:rsidR="00340ABA">
        <w:t xml:space="preserve"> funding</w:t>
      </w:r>
      <w:proofErr w:type="gramEnd"/>
      <w:r w:rsidR="00340ABA">
        <w:t xml:space="preserve">. </w:t>
      </w:r>
    </w:p>
    <w:p w:rsidR="00340ABA" w:rsidRDefault="00340ABA" w:rsidP="00340ABA">
      <w:pPr>
        <w:spacing w:after="0"/>
        <w:jc w:val="both"/>
      </w:pPr>
    </w:p>
    <w:p w:rsidR="00340ABA" w:rsidRPr="005C06BF" w:rsidRDefault="00340ABA" w:rsidP="00453F8E">
      <w:pPr>
        <w:pStyle w:val="bParagraphtext"/>
      </w:pPr>
      <w:r>
        <w:t xml:space="preserve">The City Executive Board is recommended to approve the recommendations for the commissioning programme as listed in </w:t>
      </w:r>
      <w:r w:rsidRPr="005C06BF">
        <w:t xml:space="preserve">Appendix </w:t>
      </w:r>
      <w:r>
        <w:t>1.</w:t>
      </w:r>
    </w:p>
    <w:p w:rsidR="00340ABA" w:rsidRDefault="00340ABA" w:rsidP="00340ABA">
      <w:pPr>
        <w:spacing w:after="0"/>
        <w:ind w:left="720" w:hanging="720"/>
        <w:jc w:val="both"/>
      </w:pPr>
    </w:p>
    <w:p w:rsidR="00340ABA" w:rsidRPr="002B6A9A" w:rsidRDefault="00340ABA" w:rsidP="00453F8E">
      <w:pPr>
        <w:pStyle w:val="bParagraphtext"/>
      </w:pPr>
      <w:r>
        <w:t>A report will be submitted to the City Executive Board in March 2017 with the proposed allocations for both the Preventing Homelessness grant and the Council’s Homelessness grant commissioning budget to voluntary sector organisations.</w:t>
      </w:r>
    </w:p>
    <w:p w:rsidR="00340ABA" w:rsidRDefault="00340ABA" w:rsidP="00340ABA">
      <w:pPr>
        <w:spacing w:after="0"/>
        <w:jc w:val="both"/>
      </w:pPr>
    </w:p>
    <w:p w:rsidR="00340ABA" w:rsidRDefault="00340ABA" w:rsidP="00340ABA">
      <w:pPr>
        <w:jc w:val="both"/>
        <w:rPr>
          <w:b/>
        </w:rPr>
      </w:pPr>
      <w:r w:rsidRPr="005C06BF">
        <w:rPr>
          <w:b/>
        </w:rPr>
        <w:t>Annual Open Bidding</w:t>
      </w:r>
    </w:p>
    <w:p w:rsidR="00340ABA" w:rsidRPr="005C06BF" w:rsidRDefault="00340ABA" w:rsidP="00453F8E">
      <w:pPr>
        <w:pStyle w:val="bParagraphtext"/>
      </w:pPr>
      <w:r>
        <w:t xml:space="preserve">A total of 29 </w:t>
      </w:r>
      <w:r w:rsidRPr="005C06BF">
        <w:t xml:space="preserve">applications were received to the </w:t>
      </w:r>
      <w:r>
        <w:t xml:space="preserve">grants </w:t>
      </w:r>
      <w:r w:rsidRPr="005C06BF">
        <w:t>annual open bidding programme by the closing date</w:t>
      </w:r>
      <w:r>
        <w:t xml:space="preserve"> of</w:t>
      </w:r>
      <w:r w:rsidRPr="005C06BF">
        <w:t xml:space="preserve"> </w:t>
      </w:r>
      <w:r>
        <w:t>3 Novemb</w:t>
      </w:r>
      <w:r w:rsidRPr="005C06BF">
        <w:t>er 201</w:t>
      </w:r>
      <w:r>
        <w:t xml:space="preserve">6. </w:t>
      </w:r>
    </w:p>
    <w:p w:rsidR="00340ABA" w:rsidRDefault="00340ABA" w:rsidP="00340ABA">
      <w:pPr>
        <w:spacing w:after="0"/>
        <w:jc w:val="both"/>
      </w:pPr>
    </w:p>
    <w:p w:rsidR="00340ABA" w:rsidRPr="005C06BF" w:rsidRDefault="00340ABA" w:rsidP="00453F8E">
      <w:pPr>
        <w:pStyle w:val="bParagraphtext"/>
      </w:pPr>
      <w:r>
        <w:t xml:space="preserve">The </w:t>
      </w:r>
      <w:r w:rsidRPr="005C06BF">
        <w:t xml:space="preserve">total </w:t>
      </w:r>
      <w:r>
        <w:t xml:space="preserve">amount </w:t>
      </w:r>
      <w:r w:rsidRPr="005C06BF">
        <w:t>requested</w:t>
      </w:r>
      <w:r>
        <w:t xml:space="preserve"> was </w:t>
      </w:r>
      <w:r w:rsidRPr="005C06BF">
        <w:t>£</w:t>
      </w:r>
      <w:r>
        <w:t>206,553. The</w:t>
      </w:r>
      <w:r w:rsidRPr="005C06BF">
        <w:t xml:space="preserve"> </w:t>
      </w:r>
      <w:r>
        <w:t xml:space="preserve">indicative </w:t>
      </w:r>
      <w:r w:rsidRPr="005C06BF">
        <w:t xml:space="preserve">budget </w:t>
      </w:r>
      <w:r>
        <w:t xml:space="preserve">allocated </w:t>
      </w:r>
      <w:r w:rsidRPr="005C06BF">
        <w:t xml:space="preserve">for the open bidding </w:t>
      </w:r>
      <w:r>
        <w:t xml:space="preserve">grants </w:t>
      </w:r>
      <w:r w:rsidRPr="005C06BF">
        <w:t>programme</w:t>
      </w:r>
      <w:r>
        <w:t xml:space="preserve"> </w:t>
      </w:r>
      <w:r w:rsidRPr="005C06BF">
        <w:t>is £</w:t>
      </w:r>
      <w:r>
        <w:t>107,500</w:t>
      </w:r>
      <w:r w:rsidRPr="005C06BF">
        <w:t>.</w:t>
      </w:r>
      <w:r>
        <w:t xml:space="preserve">  </w:t>
      </w:r>
    </w:p>
    <w:p w:rsidR="00340ABA" w:rsidRDefault="00340ABA" w:rsidP="00340ABA">
      <w:pPr>
        <w:spacing w:after="0"/>
        <w:jc w:val="both"/>
      </w:pPr>
    </w:p>
    <w:p w:rsidR="00340ABA" w:rsidRPr="005C06BF" w:rsidRDefault="00340ABA" w:rsidP="00453F8E">
      <w:pPr>
        <w:pStyle w:val="bParagraphtext"/>
      </w:pPr>
      <w:r>
        <w:t>Appendix 3 is a copy of the evaluation framework used by the officer grants panel that made the recommendations for each of the applications received.</w:t>
      </w:r>
    </w:p>
    <w:p w:rsidR="00340ABA" w:rsidRDefault="00340ABA" w:rsidP="00340ABA">
      <w:pPr>
        <w:spacing w:after="0"/>
        <w:jc w:val="both"/>
      </w:pPr>
    </w:p>
    <w:p w:rsidR="00340ABA" w:rsidRDefault="00340ABA" w:rsidP="00453F8E">
      <w:pPr>
        <w:pStyle w:val="bParagraphtext"/>
      </w:pPr>
      <w:r w:rsidRPr="005C06BF">
        <w:t>Each application was first screened for eligibility</w:t>
      </w:r>
      <w:r>
        <w:t>, i.e. a</w:t>
      </w:r>
      <w:r w:rsidRPr="005C06BF">
        <w:t>pplican</w:t>
      </w:r>
      <w:r>
        <w:t>ts</w:t>
      </w:r>
      <w:r w:rsidRPr="005C06BF">
        <w:t xml:space="preserve"> must </w:t>
      </w:r>
      <w:r>
        <w:t>demonstrate</w:t>
      </w:r>
      <w:r w:rsidRPr="005C06BF">
        <w:t xml:space="preserve"> that they are a constituted community organisation run by a committee</w:t>
      </w:r>
      <w:r>
        <w:t>,</w:t>
      </w:r>
      <w:r w:rsidRPr="005C06BF">
        <w:t xml:space="preserve"> </w:t>
      </w:r>
      <w:r>
        <w:t>providing</w:t>
      </w:r>
      <w:r w:rsidRPr="005C06BF">
        <w:t xml:space="preserve"> annual accounts</w:t>
      </w:r>
      <w:r>
        <w:t xml:space="preserve">, </w:t>
      </w:r>
      <w:r w:rsidRPr="005C06BF">
        <w:t xml:space="preserve">a bank statement and an equal opportunity statement. </w:t>
      </w:r>
      <w:r>
        <w:t xml:space="preserve">Those organisations working with children &amp; young people or vulnerable adults also provided copies of their safeguarding and data protection policies.  </w:t>
      </w:r>
      <w:r w:rsidRPr="005C06BF">
        <w:t xml:space="preserve">All applications are </w:t>
      </w:r>
      <w:r>
        <w:t xml:space="preserve">subsequently </w:t>
      </w:r>
      <w:r w:rsidRPr="005C06BF">
        <w:t>evaluated against criteria relating to</w:t>
      </w:r>
      <w:r>
        <w:t>:</w:t>
      </w:r>
    </w:p>
    <w:p w:rsidR="00340ABA" w:rsidRPr="00CE3AC4" w:rsidRDefault="00340ABA" w:rsidP="00340ABA">
      <w:pPr>
        <w:spacing w:after="0"/>
        <w:ind w:left="720" w:hanging="720"/>
        <w:jc w:val="both"/>
        <w:rPr>
          <w:sz w:val="16"/>
          <w:szCs w:val="16"/>
        </w:rPr>
      </w:pPr>
    </w:p>
    <w:p w:rsidR="00340ABA" w:rsidRDefault="00340ABA" w:rsidP="00340ABA">
      <w:pPr>
        <w:numPr>
          <w:ilvl w:val="0"/>
          <w:numId w:val="37"/>
        </w:numPr>
        <w:spacing w:after="0"/>
        <w:jc w:val="both"/>
      </w:pPr>
      <w:r>
        <w:t>E</w:t>
      </w:r>
      <w:r w:rsidRPr="005C06BF">
        <w:t>vidence of social need</w:t>
      </w:r>
    </w:p>
    <w:p w:rsidR="00340ABA" w:rsidRDefault="00340ABA" w:rsidP="00340ABA">
      <w:pPr>
        <w:numPr>
          <w:ilvl w:val="0"/>
          <w:numId w:val="37"/>
        </w:numPr>
        <w:spacing w:after="0"/>
        <w:jc w:val="both"/>
      </w:pPr>
      <w:r>
        <w:t>Who the project is targeting</w:t>
      </w:r>
    </w:p>
    <w:p w:rsidR="00340ABA" w:rsidRDefault="00340ABA" w:rsidP="00340ABA">
      <w:pPr>
        <w:numPr>
          <w:ilvl w:val="0"/>
          <w:numId w:val="37"/>
        </w:numPr>
        <w:spacing w:after="0"/>
        <w:jc w:val="both"/>
      </w:pPr>
      <w:r>
        <w:t>Risk</w:t>
      </w:r>
    </w:p>
    <w:p w:rsidR="00340ABA" w:rsidRDefault="00340ABA" w:rsidP="00340ABA">
      <w:pPr>
        <w:numPr>
          <w:ilvl w:val="0"/>
          <w:numId w:val="37"/>
        </w:numPr>
        <w:spacing w:after="0"/>
        <w:jc w:val="both"/>
      </w:pPr>
      <w:r>
        <w:t>H</w:t>
      </w:r>
      <w:r w:rsidRPr="005C06BF">
        <w:t>ow the appli</w:t>
      </w:r>
      <w:r>
        <w:t>cation meets Council priorities</w:t>
      </w:r>
    </w:p>
    <w:p w:rsidR="00340ABA" w:rsidRDefault="00340ABA" w:rsidP="00340ABA">
      <w:pPr>
        <w:numPr>
          <w:ilvl w:val="0"/>
          <w:numId w:val="37"/>
        </w:numPr>
        <w:spacing w:after="0"/>
        <w:jc w:val="both"/>
      </w:pPr>
      <w:r>
        <w:t>M</w:t>
      </w:r>
      <w:r w:rsidRPr="005C06BF">
        <w:t>onitor</w:t>
      </w:r>
      <w:r>
        <w:t>ing</w:t>
      </w:r>
      <w:r w:rsidRPr="005C06BF">
        <w:t xml:space="preserve"> and evaluat</w:t>
      </w:r>
      <w:r>
        <w:t>ion</w:t>
      </w:r>
    </w:p>
    <w:p w:rsidR="00340ABA" w:rsidRDefault="00340ABA" w:rsidP="00340ABA">
      <w:pPr>
        <w:numPr>
          <w:ilvl w:val="0"/>
          <w:numId w:val="37"/>
        </w:numPr>
        <w:spacing w:after="0"/>
        <w:jc w:val="both"/>
      </w:pPr>
      <w:r>
        <w:t>W</w:t>
      </w:r>
      <w:r w:rsidRPr="005C06BF">
        <w:t>hether the group receive any other subsidy from the Council</w:t>
      </w:r>
    </w:p>
    <w:p w:rsidR="00340ABA" w:rsidRDefault="00340ABA" w:rsidP="00340ABA">
      <w:pPr>
        <w:numPr>
          <w:ilvl w:val="0"/>
          <w:numId w:val="37"/>
        </w:numPr>
        <w:spacing w:after="0"/>
        <w:jc w:val="both"/>
      </w:pPr>
      <w:r>
        <w:t>I</w:t>
      </w:r>
      <w:r w:rsidRPr="005C06BF">
        <w:t>f the group is financially competent</w:t>
      </w:r>
    </w:p>
    <w:p w:rsidR="00340ABA" w:rsidRDefault="00340ABA" w:rsidP="00340ABA">
      <w:pPr>
        <w:numPr>
          <w:ilvl w:val="0"/>
          <w:numId w:val="37"/>
        </w:numPr>
        <w:spacing w:after="0"/>
        <w:jc w:val="both"/>
      </w:pPr>
      <w:r>
        <w:t>D</w:t>
      </w:r>
      <w:r w:rsidRPr="005C06BF">
        <w:t>emonstrat</w:t>
      </w:r>
      <w:r>
        <w:t xml:space="preserve">ion of </w:t>
      </w:r>
      <w:r w:rsidRPr="005C06BF">
        <w:t>financial need</w:t>
      </w:r>
      <w:r>
        <w:t xml:space="preserve"> and </w:t>
      </w:r>
    </w:p>
    <w:p w:rsidR="00340ABA" w:rsidRDefault="00340ABA" w:rsidP="00340ABA">
      <w:pPr>
        <w:numPr>
          <w:ilvl w:val="0"/>
          <w:numId w:val="37"/>
        </w:numPr>
        <w:spacing w:after="0"/>
        <w:jc w:val="both"/>
      </w:pPr>
      <w:r>
        <w:t>V</w:t>
      </w:r>
      <w:r w:rsidRPr="005C06BF">
        <w:t xml:space="preserve">alue for money.  </w:t>
      </w:r>
    </w:p>
    <w:p w:rsidR="00340ABA" w:rsidRPr="00CE3AC4" w:rsidRDefault="00340ABA" w:rsidP="00340ABA">
      <w:pPr>
        <w:ind w:left="720"/>
        <w:jc w:val="both"/>
        <w:rPr>
          <w:sz w:val="16"/>
          <w:szCs w:val="16"/>
        </w:rPr>
      </w:pPr>
    </w:p>
    <w:p w:rsidR="00340ABA" w:rsidRPr="005C06BF" w:rsidRDefault="00340ABA" w:rsidP="00453F8E">
      <w:pPr>
        <w:pStyle w:val="bParagraphtext"/>
      </w:pPr>
      <w:r w:rsidRPr="005C06BF">
        <w:t xml:space="preserve">Appendix </w:t>
      </w:r>
      <w:r>
        <w:t>2</w:t>
      </w:r>
      <w:r w:rsidRPr="005C06BF">
        <w:t xml:space="preserve"> is a listing of </w:t>
      </w:r>
      <w:r>
        <w:t>all</w:t>
      </w:r>
      <w:r w:rsidRPr="005C06BF">
        <w:t xml:space="preserve"> application</w:t>
      </w:r>
      <w:r>
        <w:t>s</w:t>
      </w:r>
      <w:r w:rsidRPr="005C06BF">
        <w:t xml:space="preserve"> received, the amount requested and the rational</w:t>
      </w:r>
      <w:r>
        <w:t>e</w:t>
      </w:r>
      <w:r w:rsidRPr="005C06BF">
        <w:t xml:space="preserve"> for the recommendation.  </w:t>
      </w:r>
    </w:p>
    <w:p w:rsidR="00340ABA" w:rsidRDefault="00340ABA" w:rsidP="00340ABA">
      <w:pPr>
        <w:spacing w:after="0"/>
        <w:jc w:val="both"/>
      </w:pPr>
    </w:p>
    <w:p w:rsidR="00340ABA" w:rsidRPr="00CA2B2F" w:rsidRDefault="00340ABA" w:rsidP="00453F8E">
      <w:pPr>
        <w:pStyle w:val="bParagraphtext"/>
      </w:pPr>
      <w:r>
        <w:t xml:space="preserve">The City Executive Board is recommended to approve the recommendations for the open bidding grants programme as listed in </w:t>
      </w:r>
      <w:r w:rsidRPr="005C06BF">
        <w:t xml:space="preserve">Appendix </w:t>
      </w:r>
      <w:r>
        <w:t>2.</w:t>
      </w:r>
    </w:p>
    <w:p w:rsidR="00340ABA" w:rsidRDefault="00340ABA" w:rsidP="00340ABA">
      <w:pPr>
        <w:spacing w:after="0"/>
        <w:jc w:val="both"/>
        <w:rPr>
          <w:b/>
        </w:rPr>
      </w:pPr>
    </w:p>
    <w:p w:rsidR="00340ABA" w:rsidRPr="00CA2B2F" w:rsidRDefault="00340ABA" w:rsidP="00340ABA">
      <w:pPr>
        <w:jc w:val="both"/>
        <w:rPr>
          <w:b/>
        </w:rPr>
      </w:pPr>
      <w:r w:rsidRPr="00CA2B2F">
        <w:rPr>
          <w:b/>
        </w:rPr>
        <w:t>Rents</w:t>
      </w:r>
      <w:r>
        <w:rPr>
          <w:b/>
        </w:rPr>
        <w:t xml:space="preserve"> &amp; Business Rates</w:t>
      </w:r>
    </w:p>
    <w:p w:rsidR="00340ABA" w:rsidRDefault="00340ABA" w:rsidP="00453F8E">
      <w:pPr>
        <w:pStyle w:val="bParagraphtext"/>
      </w:pPr>
      <w:r w:rsidRPr="005C06BF">
        <w:t xml:space="preserve">Some organisations recommended </w:t>
      </w:r>
      <w:r>
        <w:t>for</w:t>
      </w:r>
      <w:r w:rsidRPr="005C06BF">
        <w:t xml:space="preserve"> fund</w:t>
      </w:r>
      <w:r>
        <w:t>ing</w:t>
      </w:r>
      <w:r w:rsidRPr="005C06BF">
        <w:t xml:space="preserve"> </w:t>
      </w:r>
      <w:r>
        <w:t>through the CVO’s grants programme</w:t>
      </w:r>
      <w:r w:rsidRPr="005C06BF">
        <w:t xml:space="preserve"> occupy Council premises and </w:t>
      </w:r>
      <w:r>
        <w:t>pay business rates. T</w:t>
      </w:r>
      <w:r w:rsidRPr="005C06BF">
        <w:t xml:space="preserve">heir rent </w:t>
      </w:r>
      <w:r>
        <w:t xml:space="preserve">and rates </w:t>
      </w:r>
      <w:r w:rsidRPr="005C06BF">
        <w:t xml:space="preserve">will be deducted from </w:t>
      </w:r>
      <w:r>
        <w:t>any funding awarded to them</w:t>
      </w:r>
      <w:r w:rsidRPr="005C06BF">
        <w:t xml:space="preserve">.  </w:t>
      </w:r>
      <w:r>
        <w:t>These are set out in Table 2 below.</w:t>
      </w:r>
    </w:p>
    <w:p w:rsidR="00340ABA" w:rsidRDefault="00340ABA" w:rsidP="00FA37E0">
      <w:pPr>
        <w:spacing w:after="0"/>
        <w:jc w:val="both"/>
        <w:rPr>
          <w:b/>
        </w:rPr>
      </w:pPr>
    </w:p>
    <w:p w:rsidR="00340ABA" w:rsidRDefault="00340ABA" w:rsidP="00340ABA">
      <w:pPr>
        <w:jc w:val="both"/>
        <w:rPr>
          <w:b/>
        </w:rPr>
      </w:pPr>
      <w:r w:rsidRPr="005C06BF">
        <w:rPr>
          <w:b/>
        </w:rPr>
        <w:t xml:space="preserve">Table </w:t>
      </w:r>
      <w:r>
        <w:rPr>
          <w:b/>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182"/>
        <w:gridCol w:w="1417"/>
        <w:gridCol w:w="1559"/>
        <w:gridCol w:w="1701"/>
      </w:tblGrid>
      <w:tr w:rsidR="00340ABA" w:rsidRPr="002426A0" w:rsidTr="004263B3">
        <w:tc>
          <w:tcPr>
            <w:tcW w:w="3888" w:type="dxa"/>
            <w:shd w:val="clear" w:color="auto" w:fill="auto"/>
          </w:tcPr>
          <w:p w:rsidR="00340ABA" w:rsidRPr="002426A0" w:rsidRDefault="00340ABA" w:rsidP="004263B3">
            <w:pPr>
              <w:jc w:val="both"/>
              <w:rPr>
                <w:b/>
              </w:rPr>
            </w:pPr>
            <w:r w:rsidRPr="002426A0">
              <w:rPr>
                <w:b/>
              </w:rPr>
              <w:t>Organisation</w:t>
            </w:r>
          </w:p>
        </w:tc>
        <w:tc>
          <w:tcPr>
            <w:tcW w:w="1182" w:type="dxa"/>
            <w:shd w:val="clear" w:color="auto" w:fill="auto"/>
          </w:tcPr>
          <w:p w:rsidR="00340ABA" w:rsidRDefault="00340ABA" w:rsidP="004263B3">
            <w:pPr>
              <w:jc w:val="center"/>
              <w:rPr>
                <w:b/>
              </w:rPr>
            </w:pPr>
            <w:r>
              <w:rPr>
                <w:b/>
              </w:rPr>
              <w:t>G</w:t>
            </w:r>
            <w:r w:rsidRPr="002426A0">
              <w:rPr>
                <w:b/>
              </w:rPr>
              <w:t>rant</w:t>
            </w:r>
          </w:p>
          <w:p w:rsidR="00340ABA" w:rsidRPr="002426A0" w:rsidRDefault="00340ABA" w:rsidP="004263B3">
            <w:pPr>
              <w:jc w:val="center"/>
              <w:rPr>
                <w:b/>
              </w:rPr>
            </w:pPr>
            <w:r>
              <w:rPr>
                <w:b/>
              </w:rPr>
              <w:t>(£)</w:t>
            </w:r>
          </w:p>
        </w:tc>
        <w:tc>
          <w:tcPr>
            <w:tcW w:w="1417" w:type="dxa"/>
            <w:shd w:val="clear" w:color="auto" w:fill="auto"/>
          </w:tcPr>
          <w:p w:rsidR="00340ABA" w:rsidRPr="002426A0" w:rsidRDefault="00340ABA" w:rsidP="004263B3">
            <w:pPr>
              <w:jc w:val="center"/>
              <w:rPr>
                <w:b/>
              </w:rPr>
            </w:pPr>
            <w:r w:rsidRPr="002426A0">
              <w:rPr>
                <w:b/>
              </w:rPr>
              <w:t>201</w:t>
            </w:r>
            <w:r>
              <w:rPr>
                <w:b/>
              </w:rPr>
              <w:t>7</w:t>
            </w:r>
            <w:r w:rsidRPr="002426A0">
              <w:rPr>
                <w:b/>
              </w:rPr>
              <w:t>/1</w:t>
            </w:r>
            <w:r>
              <w:rPr>
                <w:b/>
              </w:rPr>
              <w:t>8</w:t>
            </w:r>
            <w:r w:rsidRPr="002426A0">
              <w:rPr>
                <w:b/>
              </w:rPr>
              <w:t xml:space="preserve"> rent</w:t>
            </w:r>
          </w:p>
        </w:tc>
        <w:tc>
          <w:tcPr>
            <w:tcW w:w="1559" w:type="dxa"/>
          </w:tcPr>
          <w:p w:rsidR="00340ABA" w:rsidRPr="002426A0" w:rsidRDefault="00340ABA" w:rsidP="004263B3">
            <w:pPr>
              <w:jc w:val="center"/>
              <w:rPr>
                <w:b/>
              </w:rPr>
            </w:pPr>
            <w:r>
              <w:rPr>
                <w:b/>
              </w:rPr>
              <w:t>2017/18 Business Rates</w:t>
            </w:r>
          </w:p>
        </w:tc>
        <w:tc>
          <w:tcPr>
            <w:tcW w:w="1701" w:type="dxa"/>
            <w:shd w:val="clear" w:color="auto" w:fill="auto"/>
          </w:tcPr>
          <w:p w:rsidR="00340ABA" w:rsidRPr="002426A0" w:rsidRDefault="00340ABA" w:rsidP="004263B3">
            <w:pPr>
              <w:jc w:val="center"/>
              <w:rPr>
                <w:b/>
              </w:rPr>
            </w:pPr>
            <w:r w:rsidRPr="002426A0">
              <w:rPr>
                <w:b/>
              </w:rPr>
              <w:t>Balance to organisation</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Agnes Smith Advice Centre</w:t>
            </w:r>
          </w:p>
        </w:tc>
        <w:tc>
          <w:tcPr>
            <w:tcW w:w="1182" w:type="dxa"/>
            <w:shd w:val="clear" w:color="auto" w:fill="auto"/>
          </w:tcPr>
          <w:p w:rsidR="00340ABA" w:rsidRPr="000E5128" w:rsidRDefault="00340ABA" w:rsidP="004263B3">
            <w:pPr>
              <w:jc w:val="right"/>
              <w:rPr>
                <w:sz w:val="22"/>
              </w:rPr>
            </w:pPr>
            <w:r>
              <w:rPr>
                <w:sz w:val="22"/>
              </w:rPr>
              <w:t>£85,290</w:t>
            </w:r>
          </w:p>
        </w:tc>
        <w:tc>
          <w:tcPr>
            <w:tcW w:w="1417" w:type="dxa"/>
            <w:shd w:val="clear" w:color="auto" w:fill="auto"/>
          </w:tcPr>
          <w:p w:rsidR="00340ABA" w:rsidRPr="000E5128" w:rsidRDefault="00340ABA" w:rsidP="004263B3">
            <w:pPr>
              <w:jc w:val="right"/>
              <w:rPr>
                <w:sz w:val="22"/>
              </w:rPr>
            </w:pPr>
            <w:r>
              <w:rPr>
                <w:sz w:val="22"/>
              </w:rPr>
              <w:t>£</w:t>
            </w:r>
            <w:r w:rsidRPr="000E5128">
              <w:rPr>
                <w:sz w:val="22"/>
              </w:rPr>
              <w:t>7,</w:t>
            </w:r>
            <w:r>
              <w:rPr>
                <w:sz w:val="22"/>
              </w:rPr>
              <w:t>2</w:t>
            </w:r>
            <w:r w:rsidRPr="000E5128">
              <w:rPr>
                <w:sz w:val="22"/>
              </w:rPr>
              <w:t>50</w:t>
            </w:r>
          </w:p>
        </w:tc>
        <w:tc>
          <w:tcPr>
            <w:tcW w:w="1559" w:type="dxa"/>
          </w:tcPr>
          <w:p w:rsidR="00340ABA" w:rsidRDefault="00340ABA" w:rsidP="004263B3">
            <w:pPr>
              <w:jc w:val="right"/>
              <w:rPr>
                <w:sz w:val="22"/>
              </w:rPr>
            </w:pPr>
            <w:r>
              <w:rPr>
                <w:sz w:val="22"/>
              </w:rPr>
              <w:t>£704.80</w:t>
            </w:r>
          </w:p>
        </w:tc>
        <w:tc>
          <w:tcPr>
            <w:tcW w:w="1701" w:type="dxa"/>
            <w:shd w:val="clear" w:color="auto" w:fill="auto"/>
          </w:tcPr>
          <w:p w:rsidR="00340ABA" w:rsidRPr="000E5128" w:rsidRDefault="00340ABA" w:rsidP="004263B3">
            <w:pPr>
              <w:jc w:val="right"/>
              <w:rPr>
                <w:sz w:val="22"/>
              </w:rPr>
            </w:pPr>
            <w:r>
              <w:rPr>
                <w:sz w:val="22"/>
              </w:rPr>
              <w:t>£77,335.20</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Arts at the Old Fire Station</w:t>
            </w:r>
          </w:p>
        </w:tc>
        <w:tc>
          <w:tcPr>
            <w:tcW w:w="1182" w:type="dxa"/>
            <w:shd w:val="clear" w:color="auto" w:fill="auto"/>
          </w:tcPr>
          <w:p w:rsidR="00340ABA" w:rsidRPr="000E5128" w:rsidRDefault="00340ABA" w:rsidP="004263B3">
            <w:pPr>
              <w:jc w:val="right"/>
              <w:rPr>
                <w:sz w:val="22"/>
              </w:rPr>
            </w:pPr>
            <w:r>
              <w:rPr>
                <w:sz w:val="22"/>
              </w:rPr>
              <w:t>£32,134</w:t>
            </w:r>
          </w:p>
        </w:tc>
        <w:tc>
          <w:tcPr>
            <w:tcW w:w="1417" w:type="dxa"/>
            <w:shd w:val="clear" w:color="auto" w:fill="auto"/>
          </w:tcPr>
          <w:p w:rsidR="00340ABA" w:rsidRPr="000E5128" w:rsidRDefault="00340ABA" w:rsidP="004263B3">
            <w:pPr>
              <w:jc w:val="right"/>
              <w:rPr>
                <w:sz w:val="22"/>
              </w:rPr>
            </w:pPr>
            <w:r>
              <w:rPr>
                <w:sz w:val="22"/>
              </w:rPr>
              <w:t>0</w:t>
            </w:r>
          </w:p>
        </w:tc>
        <w:tc>
          <w:tcPr>
            <w:tcW w:w="1559" w:type="dxa"/>
          </w:tcPr>
          <w:p w:rsidR="00340ABA" w:rsidRPr="000E5128" w:rsidRDefault="00340ABA" w:rsidP="004263B3">
            <w:pPr>
              <w:jc w:val="right"/>
              <w:rPr>
                <w:sz w:val="22"/>
              </w:rPr>
            </w:pPr>
            <w:r>
              <w:rPr>
                <w:sz w:val="22"/>
              </w:rPr>
              <w:t>£6,227</w:t>
            </w:r>
          </w:p>
        </w:tc>
        <w:tc>
          <w:tcPr>
            <w:tcW w:w="1701" w:type="dxa"/>
            <w:shd w:val="clear" w:color="auto" w:fill="auto"/>
          </w:tcPr>
          <w:p w:rsidR="00340ABA" w:rsidRDefault="00340ABA" w:rsidP="004263B3">
            <w:pPr>
              <w:tabs>
                <w:tab w:val="center" w:pos="742"/>
                <w:tab w:val="right" w:pos="1485"/>
              </w:tabs>
              <w:jc w:val="right"/>
              <w:rPr>
                <w:sz w:val="22"/>
              </w:rPr>
            </w:pPr>
            <w:r>
              <w:rPr>
                <w:sz w:val="22"/>
              </w:rPr>
              <w:t>£25,907</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 xml:space="preserve">Film Oxford </w:t>
            </w:r>
          </w:p>
        </w:tc>
        <w:tc>
          <w:tcPr>
            <w:tcW w:w="1182" w:type="dxa"/>
            <w:shd w:val="clear" w:color="auto" w:fill="auto"/>
          </w:tcPr>
          <w:p w:rsidR="00340ABA" w:rsidRPr="000E5128" w:rsidRDefault="00340ABA" w:rsidP="004263B3">
            <w:pPr>
              <w:jc w:val="right"/>
              <w:rPr>
                <w:sz w:val="22"/>
              </w:rPr>
            </w:pPr>
            <w:r>
              <w:rPr>
                <w:sz w:val="22"/>
              </w:rPr>
              <w:t>£</w:t>
            </w:r>
            <w:r w:rsidRPr="000E5128">
              <w:rPr>
                <w:sz w:val="22"/>
              </w:rPr>
              <w:t>25,000</w:t>
            </w:r>
          </w:p>
        </w:tc>
        <w:tc>
          <w:tcPr>
            <w:tcW w:w="1417" w:type="dxa"/>
            <w:shd w:val="clear" w:color="auto" w:fill="auto"/>
          </w:tcPr>
          <w:p w:rsidR="00340ABA" w:rsidRPr="000E5128" w:rsidRDefault="00340ABA" w:rsidP="004263B3">
            <w:pPr>
              <w:jc w:val="right"/>
              <w:rPr>
                <w:sz w:val="22"/>
              </w:rPr>
            </w:pPr>
            <w:r>
              <w:rPr>
                <w:sz w:val="22"/>
              </w:rPr>
              <w:t>£</w:t>
            </w:r>
            <w:r w:rsidRPr="000E5128">
              <w:rPr>
                <w:sz w:val="22"/>
              </w:rPr>
              <w:t>5,000</w:t>
            </w:r>
          </w:p>
        </w:tc>
        <w:tc>
          <w:tcPr>
            <w:tcW w:w="1559" w:type="dxa"/>
          </w:tcPr>
          <w:p w:rsidR="00340ABA" w:rsidRPr="000E5128" w:rsidRDefault="00340ABA" w:rsidP="004263B3">
            <w:pPr>
              <w:jc w:val="right"/>
              <w:rPr>
                <w:sz w:val="22"/>
              </w:rPr>
            </w:pPr>
            <w:r>
              <w:rPr>
                <w:sz w:val="22"/>
              </w:rPr>
              <w:t>£699</w:t>
            </w:r>
          </w:p>
        </w:tc>
        <w:tc>
          <w:tcPr>
            <w:tcW w:w="1701" w:type="dxa"/>
            <w:shd w:val="clear" w:color="auto" w:fill="auto"/>
          </w:tcPr>
          <w:p w:rsidR="00340ABA" w:rsidRPr="000E5128" w:rsidRDefault="00340ABA" w:rsidP="004263B3">
            <w:pPr>
              <w:tabs>
                <w:tab w:val="center" w:pos="742"/>
                <w:tab w:val="right" w:pos="1485"/>
              </w:tabs>
              <w:jc w:val="right"/>
              <w:rPr>
                <w:sz w:val="22"/>
              </w:rPr>
            </w:pPr>
            <w:r>
              <w:rPr>
                <w:sz w:val="22"/>
              </w:rPr>
              <w:t>£19,301</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Fusion Arts</w:t>
            </w:r>
          </w:p>
        </w:tc>
        <w:tc>
          <w:tcPr>
            <w:tcW w:w="1182" w:type="dxa"/>
            <w:shd w:val="clear" w:color="auto" w:fill="auto"/>
          </w:tcPr>
          <w:p w:rsidR="00340ABA" w:rsidRPr="000E5128" w:rsidRDefault="00340ABA" w:rsidP="004263B3">
            <w:pPr>
              <w:jc w:val="right"/>
              <w:rPr>
                <w:sz w:val="22"/>
              </w:rPr>
            </w:pPr>
            <w:r>
              <w:rPr>
                <w:sz w:val="22"/>
              </w:rPr>
              <w:t>£28,128</w:t>
            </w:r>
          </w:p>
        </w:tc>
        <w:tc>
          <w:tcPr>
            <w:tcW w:w="1417" w:type="dxa"/>
            <w:shd w:val="clear" w:color="auto" w:fill="auto"/>
          </w:tcPr>
          <w:p w:rsidR="00340ABA" w:rsidRPr="000E5128" w:rsidRDefault="00340ABA" w:rsidP="004263B3">
            <w:pPr>
              <w:jc w:val="right"/>
              <w:rPr>
                <w:sz w:val="22"/>
              </w:rPr>
            </w:pPr>
            <w:r>
              <w:rPr>
                <w:sz w:val="22"/>
              </w:rPr>
              <w:t>£8,837</w:t>
            </w:r>
          </w:p>
        </w:tc>
        <w:tc>
          <w:tcPr>
            <w:tcW w:w="1559" w:type="dxa"/>
          </w:tcPr>
          <w:p w:rsidR="00340ABA" w:rsidRPr="000E5128" w:rsidRDefault="00340ABA" w:rsidP="004263B3">
            <w:pPr>
              <w:jc w:val="right"/>
              <w:rPr>
                <w:sz w:val="22"/>
              </w:rPr>
            </w:pPr>
            <w:r>
              <w:rPr>
                <w:sz w:val="22"/>
              </w:rPr>
              <w:t>£869.80</w:t>
            </w:r>
          </w:p>
        </w:tc>
        <w:tc>
          <w:tcPr>
            <w:tcW w:w="1701" w:type="dxa"/>
            <w:shd w:val="clear" w:color="auto" w:fill="auto"/>
          </w:tcPr>
          <w:p w:rsidR="00340ABA" w:rsidRPr="000E5128" w:rsidRDefault="00340ABA" w:rsidP="004263B3">
            <w:pPr>
              <w:jc w:val="right"/>
              <w:rPr>
                <w:sz w:val="22"/>
              </w:rPr>
            </w:pPr>
            <w:r>
              <w:rPr>
                <w:sz w:val="22"/>
              </w:rPr>
              <w:t>£18,421.20</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 xml:space="preserve">Modern Art Oxford </w:t>
            </w:r>
          </w:p>
        </w:tc>
        <w:tc>
          <w:tcPr>
            <w:tcW w:w="1182" w:type="dxa"/>
            <w:shd w:val="clear" w:color="auto" w:fill="auto"/>
          </w:tcPr>
          <w:p w:rsidR="00340ABA" w:rsidRPr="000E5128" w:rsidRDefault="00340ABA" w:rsidP="004263B3">
            <w:pPr>
              <w:jc w:val="right"/>
              <w:rPr>
                <w:sz w:val="22"/>
              </w:rPr>
            </w:pPr>
            <w:r>
              <w:rPr>
                <w:sz w:val="22"/>
              </w:rPr>
              <w:t>£</w:t>
            </w:r>
            <w:r w:rsidRPr="000E5128">
              <w:rPr>
                <w:sz w:val="22"/>
              </w:rPr>
              <w:t>70,000</w:t>
            </w:r>
          </w:p>
        </w:tc>
        <w:tc>
          <w:tcPr>
            <w:tcW w:w="1417" w:type="dxa"/>
            <w:shd w:val="clear" w:color="auto" w:fill="auto"/>
          </w:tcPr>
          <w:p w:rsidR="00340ABA" w:rsidRPr="000E5128" w:rsidRDefault="00340ABA" w:rsidP="004263B3">
            <w:pPr>
              <w:jc w:val="right"/>
              <w:rPr>
                <w:sz w:val="22"/>
              </w:rPr>
            </w:pPr>
            <w:r>
              <w:rPr>
                <w:sz w:val="22"/>
              </w:rPr>
              <w:t>£</w:t>
            </w:r>
            <w:r w:rsidRPr="000E5128">
              <w:rPr>
                <w:sz w:val="22"/>
              </w:rPr>
              <w:t>70,000</w:t>
            </w:r>
          </w:p>
        </w:tc>
        <w:tc>
          <w:tcPr>
            <w:tcW w:w="1559" w:type="dxa"/>
          </w:tcPr>
          <w:p w:rsidR="00340ABA" w:rsidRPr="000E5128" w:rsidRDefault="00340ABA" w:rsidP="004263B3">
            <w:pPr>
              <w:jc w:val="right"/>
              <w:rPr>
                <w:sz w:val="22"/>
              </w:rPr>
            </w:pPr>
            <w:r>
              <w:rPr>
                <w:sz w:val="22"/>
              </w:rPr>
              <w:t>£7,963</w:t>
            </w:r>
          </w:p>
        </w:tc>
        <w:tc>
          <w:tcPr>
            <w:tcW w:w="1701" w:type="dxa"/>
            <w:shd w:val="clear" w:color="auto" w:fill="auto"/>
          </w:tcPr>
          <w:p w:rsidR="00340ABA" w:rsidRPr="000E5128" w:rsidRDefault="00340ABA" w:rsidP="004263B3">
            <w:pPr>
              <w:jc w:val="right"/>
              <w:rPr>
                <w:sz w:val="22"/>
              </w:rPr>
            </w:pPr>
            <w:r>
              <w:rPr>
                <w:sz w:val="22"/>
              </w:rPr>
              <w:t>0</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Oxford Community Work Agency</w:t>
            </w:r>
          </w:p>
        </w:tc>
        <w:tc>
          <w:tcPr>
            <w:tcW w:w="1182" w:type="dxa"/>
            <w:shd w:val="clear" w:color="auto" w:fill="auto"/>
          </w:tcPr>
          <w:p w:rsidR="00340ABA" w:rsidRPr="000E5128" w:rsidRDefault="00340ABA" w:rsidP="004263B3">
            <w:pPr>
              <w:jc w:val="right"/>
              <w:rPr>
                <w:sz w:val="22"/>
              </w:rPr>
            </w:pPr>
            <w:r>
              <w:rPr>
                <w:sz w:val="22"/>
              </w:rPr>
              <w:t>£122,611</w:t>
            </w:r>
            <w:r w:rsidRPr="000E5128">
              <w:rPr>
                <w:sz w:val="22"/>
              </w:rPr>
              <w:t xml:space="preserve"> </w:t>
            </w:r>
          </w:p>
        </w:tc>
        <w:tc>
          <w:tcPr>
            <w:tcW w:w="1417" w:type="dxa"/>
            <w:shd w:val="clear" w:color="auto" w:fill="auto"/>
          </w:tcPr>
          <w:p w:rsidR="00340ABA" w:rsidRPr="000E5128" w:rsidRDefault="00340ABA" w:rsidP="004263B3">
            <w:pPr>
              <w:jc w:val="right"/>
              <w:rPr>
                <w:sz w:val="22"/>
              </w:rPr>
            </w:pPr>
            <w:r>
              <w:rPr>
                <w:sz w:val="22"/>
              </w:rPr>
              <w:t>£</w:t>
            </w:r>
            <w:r w:rsidRPr="000E5128">
              <w:rPr>
                <w:sz w:val="22"/>
              </w:rPr>
              <w:t>8,100</w:t>
            </w:r>
          </w:p>
        </w:tc>
        <w:tc>
          <w:tcPr>
            <w:tcW w:w="1559" w:type="dxa"/>
          </w:tcPr>
          <w:p w:rsidR="00340ABA" w:rsidRDefault="00340ABA" w:rsidP="004263B3">
            <w:pPr>
              <w:jc w:val="right"/>
              <w:rPr>
                <w:sz w:val="22"/>
              </w:rPr>
            </w:pPr>
            <w:r>
              <w:rPr>
                <w:sz w:val="22"/>
              </w:rPr>
              <w:t>£2,726</w:t>
            </w:r>
          </w:p>
        </w:tc>
        <w:tc>
          <w:tcPr>
            <w:tcW w:w="1701" w:type="dxa"/>
            <w:shd w:val="clear" w:color="auto" w:fill="auto"/>
          </w:tcPr>
          <w:p w:rsidR="00340ABA" w:rsidRPr="000E5128" w:rsidRDefault="00340ABA" w:rsidP="004263B3">
            <w:pPr>
              <w:jc w:val="right"/>
              <w:rPr>
                <w:sz w:val="22"/>
              </w:rPr>
            </w:pPr>
            <w:r>
              <w:rPr>
                <w:sz w:val="22"/>
              </w:rPr>
              <w:t>£111,785</w:t>
            </w:r>
          </w:p>
        </w:tc>
      </w:tr>
      <w:tr w:rsidR="00340ABA" w:rsidRPr="005C06BF" w:rsidTr="004263B3">
        <w:tc>
          <w:tcPr>
            <w:tcW w:w="3888" w:type="dxa"/>
            <w:shd w:val="clear" w:color="auto" w:fill="auto"/>
          </w:tcPr>
          <w:p w:rsidR="00340ABA" w:rsidRDefault="00340ABA" w:rsidP="004263B3">
            <w:pPr>
              <w:jc w:val="both"/>
              <w:rPr>
                <w:sz w:val="22"/>
              </w:rPr>
            </w:pPr>
            <w:r>
              <w:rPr>
                <w:sz w:val="22"/>
              </w:rPr>
              <w:t>OVADA</w:t>
            </w:r>
          </w:p>
        </w:tc>
        <w:tc>
          <w:tcPr>
            <w:tcW w:w="1182" w:type="dxa"/>
            <w:shd w:val="clear" w:color="auto" w:fill="auto"/>
          </w:tcPr>
          <w:p w:rsidR="00340ABA" w:rsidRDefault="00340ABA" w:rsidP="004263B3">
            <w:pPr>
              <w:jc w:val="right"/>
              <w:rPr>
                <w:sz w:val="22"/>
              </w:rPr>
            </w:pPr>
            <w:r>
              <w:rPr>
                <w:sz w:val="22"/>
              </w:rPr>
              <w:t>£5,000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£1,561</w:t>
            </w:r>
          </w:p>
        </w:tc>
        <w:tc>
          <w:tcPr>
            <w:tcW w:w="1701" w:type="dxa"/>
            <w:shd w:val="clear" w:color="auto" w:fill="auto"/>
          </w:tcPr>
          <w:p w:rsidR="00340ABA" w:rsidRPr="000E5128" w:rsidRDefault="00340ABA" w:rsidP="004263B3">
            <w:pPr>
              <w:jc w:val="right"/>
              <w:rPr>
                <w:sz w:val="22"/>
              </w:rPr>
            </w:pPr>
            <w:r>
              <w:rPr>
                <w:sz w:val="22"/>
              </w:rPr>
              <w:t>£3,439</w:t>
            </w:r>
          </w:p>
        </w:tc>
      </w:tr>
      <w:tr w:rsidR="00340ABA" w:rsidRPr="005C06BF" w:rsidTr="004263B3">
        <w:tc>
          <w:tcPr>
            <w:tcW w:w="3888" w:type="dxa"/>
            <w:shd w:val="clear" w:color="auto" w:fill="auto"/>
          </w:tcPr>
          <w:p w:rsidR="00340ABA" w:rsidRDefault="00340ABA" w:rsidP="004263B3">
            <w:pPr>
              <w:jc w:val="both"/>
              <w:rPr>
                <w:sz w:val="22"/>
              </w:rPr>
            </w:pPr>
            <w:r>
              <w:rPr>
                <w:sz w:val="22"/>
              </w:rPr>
              <w:t>Oxford CAB</w:t>
            </w:r>
          </w:p>
        </w:tc>
        <w:tc>
          <w:tcPr>
            <w:tcW w:w="1182" w:type="dxa"/>
            <w:shd w:val="clear" w:color="auto" w:fill="auto"/>
          </w:tcPr>
          <w:p w:rsidR="00340ABA" w:rsidRDefault="00340ABA" w:rsidP="004263B3">
            <w:pPr>
              <w:jc w:val="right"/>
              <w:rPr>
                <w:sz w:val="22"/>
              </w:rPr>
            </w:pPr>
            <w:r>
              <w:rPr>
                <w:sz w:val="22"/>
              </w:rPr>
              <w:t>£200,000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£4,287.20</w:t>
            </w:r>
          </w:p>
        </w:tc>
        <w:tc>
          <w:tcPr>
            <w:tcW w:w="1701" w:type="dxa"/>
            <w:shd w:val="clear" w:color="auto" w:fill="auto"/>
          </w:tcPr>
          <w:p w:rsidR="00340ABA" w:rsidRPr="000E5128" w:rsidRDefault="00340ABA" w:rsidP="004263B3">
            <w:pPr>
              <w:jc w:val="right"/>
              <w:rPr>
                <w:sz w:val="22"/>
              </w:rPr>
            </w:pPr>
            <w:r>
              <w:rPr>
                <w:sz w:val="22"/>
              </w:rPr>
              <w:t>£195,712.80</w:t>
            </w:r>
          </w:p>
        </w:tc>
      </w:tr>
      <w:tr w:rsidR="00340ABA" w:rsidRPr="005C06BF" w:rsidTr="004263B3">
        <w:tc>
          <w:tcPr>
            <w:tcW w:w="3888" w:type="dxa"/>
            <w:shd w:val="clear" w:color="auto" w:fill="auto"/>
          </w:tcPr>
          <w:p w:rsidR="00340ABA" w:rsidRDefault="00340ABA" w:rsidP="004263B3">
            <w:pPr>
              <w:jc w:val="both"/>
              <w:rPr>
                <w:sz w:val="22"/>
              </w:rPr>
            </w:pPr>
            <w:r>
              <w:rPr>
                <w:sz w:val="22"/>
              </w:rPr>
              <w:t>Oxford Playhouse</w:t>
            </w:r>
          </w:p>
        </w:tc>
        <w:tc>
          <w:tcPr>
            <w:tcW w:w="1182" w:type="dxa"/>
            <w:shd w:val="clear" w:color="auto" w:fill="auto"/>
          </w:tcPr>
          <w:p w:rsidR="00340ABA" w:rsidRDefault="00340ABA" w:rsidP="004263B3">
            <w:pPr>
              <w:jc w:val="right"/>
              <w:rPr>
                <w:sz w:val="22"/>
              </w:rPr>
            </w:pPr>
            <w:r>
              <w:rPr>
                <w:sz w:val="22"/>
              </w:rPr>
              <w:t>£24,000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£5,436</w:t>
            </w:r>
          </w:p>
        </w:tc>
        <w:tc>
          <w:tcPr>
            <w:tcW w:w="1701" w:type="dxa"/>
            <w:shd w:val="clear" w:color="auto" w:fill="auto"/>
          </w:tcPr>
          <w:p w:rsidR="00340ABA" w:rsidRPr="000E5128" w:rsidRDefault="00340ABA" w:rsidP="004263B3">
            <w:pPr>
              <w:jc w:val="right"/>
              <w:rPr>
                <w:sz w:val="22"/>
              </w:rPr>
            </w:pPr>
            <w:r>
              <w:rPr>
                <w:sz w:val="22"/>
              </w:rPr>
              <w:t>£18,564</w:t>
            </w:r>
          </w:p>
        </w:tc>
      </w:tr>
      <w:tr w:rsidR="00340ABA" w:rsidRPr="005C06BF" w:rsidTr="004263B3">
        <w:tc>
          <w:tcPr>
            <w:tcW w:w="3888" w:type="dxa"/>
            <w:shd w:val="clear" w:color="auto" w:fill="auto"/>
          </w:tcPr>
          <w:p w:rsidR="00340ABA" w:rsidRDefault="00340ABA" w:rsidP="004263B3">
            <w:pPr>
              <w:jc w:val="both"/>
              <w:rPr>
                <w:sz w:val="22"/>
              </w:rPr>
            </w:pPr>
            <w:r>
              <w:rPr>
                <w:sz w:val="22"/>
              </w:rPr>
              <w:t>OCVA</w:t>
            </w:r>
          </w:p>
        </w:tc>
        <w:tc>
          <w:tcPr>
            <w:tcW w:w="1182" w:type="dxa"/>
            <w:shd w:val="clear" w:color="auto" w:fill="auto"/>
          </w:tcPr>
          <w:p w:rsidR="00340ABA" w:rsidRDefault="00340ABA" w:rsidP="004263B3">
            <w:pPr>
              <w:jc w:val="right"/>
              <w:rPr>
                <w:sz w:val="22"/>
              </w:rPr>
            </w:pPr>
            <w:r>
              <w:rPr>
                <w:sz w:val="22"/>
              </w:rPr>
              <w:t>£43,736</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£3,122.20</w:t>
            </w:r>
          </w:p>
        </w:tc>
        <w:tc>
          <w:tcPr>
            <w:tcW w:w="1701" w:type="dxa"/>
            <w:shd w:val="clear" w:color="auto" w:fill="auto"/>
          </w:tcPr>
          <w:p w:rsidR="00340ABA" w:rsidRPr="000E5128" w:rsidRDefault="00340ABA" w:rsidP="004263B3">
            <w:pPr>
              <w:jc w:val="right"/>
              <w:rPr>
                <w:sz w:val="22"/>
              </w:rPr>
            </w:pPr>
            <w:r>
              <w:rPr>
                <w:sz w:val="22"/>
              </w:rPr>
              <w:t>£40,613.80</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Parasol Project</w:t>
            </w:r>
          </w:p>
        </w:tc>
        <w:tc>
          <w:tcPr>
            <w:tcW w:w="1182" w:type="dxa"/>
            <w:shd w:val="clear" w:color="auto" w:fill="auto"/>
          </w:tcPr>
          <w:p w:rsidR="00340ABA" w:rsidRDefault="00340ABA" w:rsidP="004263B3">
            <w:pPr>
              <w:jc w:val="right"/>
              <w:rPr>
                <w:sz w:val="22"/>
              </w:rPr>
            </w:pPr>
            <w:r>
              <w:rPr>
                <w:sz w:val="22"/>
              </w:rPr>
              <w:t>£15,000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£1,540.70</w:t>
            </w:r>
          </w:p>
        </w:tc>
        <w:tc>
          <w:tcPr>
            <w:tcW w:w="1701" w:type="dxa"/>
            <w:shd w:val="clear" w:color="auto" w:fill="auto"/>
          </w:tcPr>
          <w:p w:rsidR="00340ABA" w:rsidRPr="000E5128" w:rsidRDefault="00340ABA" w:rsidP="004263B3">
            <w:pPr>
              <w:jc w:val="right"/>
              <w:rPr>
                <w:sz w:val="22"/>
              </w:rPr>
            </w:pPr>
            <w:r>
              <w:rPr>
                <w:sz w:val="22"/>
              </w:rPr>
              <w:t>£13,459.30</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Pegasus Theatre</w:t>
            </w:r>
          </w:p>
        </w:tc>
        <w:tc>
          <w:tcPr>
            <w:tcW w:w="1182" w:type="dxa"/>
            <w:shd w:val="clear" w:color="auto" w:fill="auto"/>
          </w:tcPr>
          <w:p w:rsidR="00340ABA" w:rsidRDefault="00340ABA" w:rsidP="004263B3">
            <w:pPr>
              <w:jc w:val="right"/>
              <w:rPr>
                <w:sz w:val="22"/>
              </w:rPr>
            </w:pPr>
            <w:r>
              <w:rPr>
                <w:sz w:val="22"/>
              </w:rPr>
              <w:t>£25,000</w:t>
            </w:r>
          </w:p>
        </w:tc>
        <w:tc>
          <w:tcPr>
            <w:tcW w:w="1417" w:type="dxa"/>
            <w:shd w:val="clear" w:color="auto" w:fill="auto"/>
          </w:tcPr>
          <w:p w:rsidR="00340ABA" w:rsidRDefault="00340ABA" w:rsidP="004263B3">
            <w:pPr>
              <w:jc w:val="right"/>
              <w:rPr>
                <w:sz w:val="22"/>
              </w:rPr>
            </w:pPr>
            <w:r>
              <w:rPr>
                <w:sz w:val="22"/>
              </w:rPr>
              <w:t>0</w:t>
            </w:r>
          </w:p>
        </w:tc>
        <w:tc>
          <w:tcPr>
            <w:tcW w:w="1559" w:type="dxa"/>
          </w:tcPr>
          <w:p w:rsidR="00340ABA" w:rsidRDefault="00340ABA" w:rsidP="004263B3">
            <w:pPr>
              <w:jc w:val="right"/>
              <w:rPr>
                <w:sz w:val="22"/>
              </w:rPr>
            </w:pPr>
            <w:r>
              <w:rPr>
                <w:sz w:val="22"/>
              </w:rPr>
              <w:t>£1,399.40</w:t>
            </w:r>
          </w:p>
        </w:tc>
        <w:tc>
          <w:tcPr>
            <w:tcW w:w="1701" w:type="dxa"/>
            <w:shd w:val="clear" w:color="auto" w:fill="auto"/>
          </w:tcPr>
          <w:p w:rsidR="00340ABA" w:rsidRPr="000E5128" w:rsidRDefault="00340ABA" w:rsidP="004263B3">
            <w:pPr>
              <w:jc w:val="right"/>
              <w:rPr>
                <w:sz w:val="22"/>
              </w:rPr>
            </w:pPr>
            <w:r>
              <w:rPr>
                <w:sz w:val="22"/>
              </w:rPr>
              <w:t>£23,600.60</w:t>
            </w:r>
          </w:p>
        </w:tc>
      </w:tr>
      <w:tr w:rsidR="00340ABA" w:rsidRPr="005C06BF" w:rsidTr="004263B3">
        <w:tc>
          <w:tcPr>
            <w:tcW w:w="3888" w:type="dxa"/>
            <w:shd w:val="clear" w:color="auto" w:fill="auto"/>
          </w:tcPr>
          <w:p w:rsidR="00340ABA" w:rsidRPr="000E5128" w:rsidRDefault="00340ABA" w:rsidP="004263B3">
            <w:pPr>
              <w:jc w:val="both"/>
              <w:rPr>
                <w:sz w:val="22"/>
              </w:rPr>
            </w:pPr>
            <w:r w:rsidRPr="000E5128">
              <w:rPr>
                <w:sz w:val="22"/>
              </w:rPr>
              <w:t>Rose Hill &amp; Donnington Advice Centre</w:t>
            </w:r>
          </w:p>
        </w:tc>
        <w:tc>
          <w:tcPr>
            <w:tcW w:w="1182" w:type="dxa"/>
            <w:shd w:val="clear" w:color="auto" w:fill="auto"/>
          </w:tcPr>
          <w:p w:rsidR="00340ABA" w:rsidRPr="000E5128" w:rsidRDefault="00340ABA" w:rsidP="004263B3">
            <w:pPr>
              <w:jc w:val="right"/>
              <w:rPr>
                <w:sz w:val="22"/>
              </w:rPr>
            </w:pPr>
            <w:r>
              <w:rPr>
                <w:sz w:val="22"/>
              </w:rPr>
              <w:t xml:space="preserve">   £90,478</w:t>
            </w:r>
          </w:p>
        </w:tc>
        <w:tc>
          <w:tcPr>
            <w:tcW w:w="1417" w:type="dxa"/>
            <w:shd w:val="clear" w:color="auto" w:fill="auto"/>
          </w:tcPr>
          <w:p w:rsidR="00340ABA" w:rsidRDefault="00340ABA" w:rsidP="004263B3">
            <w:pPr>
              <w:jc w:val="right"/>
              <w:rPr>
                <w:sz w:val="22"/>
              </w:rPr>
            </w:pPr>
          </w:p>
          <w:p w:rsidR="00340ABA" w:rsidRPr="000E5128" w:rsidRDefault="00340ABA" w:rsidP="004263B3">
            <w:pPr>
              <w:jc w:val="right"/>
              <w:rPr>
                <w:sz w:val="22"/>
              </w:rPr>
            </w:pPr>
            <w:r>
              <w:rPr>
                <w:sz w:val="22"/>
              </w:rPr>
              <w:t>£</w:t>
            </w:r>
            <w:r w:rsidRPr="000E5128">
              <w:rPr>
                <w:sz w:val="22"/>
              </w:rPr>
              <w:t>3,000</w:t>
            </w:r>
          </w:p>
        </w:tc>
        <w:tc>
          <w:tcPr>
            <w:tcW w:w="1559" w:type="dxa"/>
          </w:tcPr>
          <w:p w:rsidR="00340ABA" w:rsidRDefault="00340ABA" w:rsidP="004263B3">
            <w:pPr>
              <w:jc w:val="right"/>
              <w:rPr>
                <w:sz w:val="22"/>
              </w:rPr>
            </w:pPr>
            <w:r>
              <w:rPr>
                <w:sz w:val="22"/>
              </w:rPr>
              <w:t>0</w:t>
            </w:r>
          </w:p>
        </w:tc>
        <w:tc>
          <w:tcPr>
            <w:tcW w:w="1701" w:type="dxa"/>
            <w:shd w:val="clear" w:color="auto" w:fill="auto"/>
          </w:tcPr>
          <w:p w:rsidR="00340ABA" w:rsidRDefault="00340ABA" w:rsidP="004263B3">
            <w:pPr>
              <w:jc w:val="right"/>
              <w:rPr>
                <w:sz w:val="22"/>
              </w:rPr>
            </w:pPr>
          </w:p>
          <w:p w:rsidR="00340ABA" w:rsidRPr="000E5128" w:rsidRDefault="00340ABA" w:rsidP="004263B3">
            <w:pPr>
              <w:jc w:val="right"/>
              <w:rPr>
                <w:sz w:val="22"/>
              </w:rPr>
            </w:pPr>
            <w:r>
              <w:rPr>
                <w:sz w:val="22"/>
              </w:rPr>
              <w:t>£87,478</w:t>
            </w:r>
          </w:p>
        </w:tc>
      </w:tr>
      <w:tr w:rsidR="00340ABA" w:rsidRPr="005C06BF" w:rsidTr="004263B3">
        <w:tc>
          <w:tcPr>
            <w:tcW w:w="3888" w:type="dxa"/>
            <w:shd w:val="clear" w:color="auto" w:fill="auto"/>
          </w:tcPr>
          <w:p w:rsidR="00340ABA" w:rsidRPr="000E5128" w:rsidRDefault="00340ABA" w:rsidP="004263B3">
            <w:pPr>
              <w:jc w:val="both"/>
              <w:rPr>
                <w:sz w:val="22"/>
              </w:rPr>
            </w:pPr>
            <w:r>
              <w:rPr>
                <w:sz w:val="22"/>
              </w:rPr>
              <w:t>Rose Hill Junior Youth Club</w:t>
            </w:r>
          </w:p>
        </w:tc>
        <w:tc>
          <w:tcPr>
            <w:tcW w:w="1182" w:type="dxa"/>
            <w:shd w:val="clear" w:color="auto" w:fill="auto"/>
          </w:tcPr>
          <w:p w:rsidR="00340ABA" w:rsidRDefault="00340ABA" w:rsidP="004263B3">
            <w:pPr>
              <w:jc w:val="right"/>
              <w:rPr>
                <w:sz w:val="22"/>
              </w:rPr>
            </w:pPr>
            <w:r>
              <w:rPr>
                <w:sz w:val="22"/>
              </w:rPr>
              <w:t>£9,900</w:t>
            </w:r>
          </w:p>
        </w:tc>
        <w:tc>
          <w:tcPr>
            <w:tcW w:w="1417" w:type="dxa"/>
            <w:shd w:val="clear" w:color="auto" w:fill="auto"/>
          </w:tcPr>
          <w:p w:rsidR="00340ABA" w:rsidRPr="000E5128" w:rsidRDefault="00340ABA" w:rsidP="004263B3">
            <w:pPr>
              <w:jc w:val="right"/>
              <w:rPr>
                <w:sz w:val="22"/>
              </w:rPr>
            </w:pPr>
            <w:r>
              <w:rPr>
                <w:sz w:val="22"/>
              </w:rPr>
              <w:t>£1,110</w:t>
            </w:r>
          </w:p>
        </w:tc>
        <w:tc>
          <w:tcPr>
            <w:tcW w:w="1559" w:type="dxa"/>
          </w:tcPr>
          <w:p w:rsidR="00340ABA" w:rsidRDefault="00340ABA" w:rsidP="004263B3">
            <w:pPr>
              <w:jc w:val="right"/>
              <w:rPr>
                <w:sz w:val="22"/>
              </w:rPr>
            </w:pPr>
            <w:r>
              <w:rPr>
                <w:sz w:val="22"/>
              </w:rPr>
              <w:t>0</w:t>
            </w:r>
          </w:p>
        </w:tc>
        <w:tc>
          <w:tcPr>
            <w:tcW w:w="1701" w:type="dxa"/>
            <w:shd w:val="clear" w:color="auto" w:fill="auto"/>
          </w:tcPr>
          <w:p w:rsidR="00340ABA" w:rsidRDefault="00340ABA" w:rsidP="004263B3">
            <w:pPr>
              <w:jc w:val="right"/>
              <w:rPr>
                <w:sz w:val="22"/>
              </w:rPr>
            </w:pPr>
            <w:r>
              <w:rPr>
                <w:sz w:val="22"/>
              </w:rPr>
              <w:t>£8,790</w:t>
            </w:r>
          </w:p>
        </w:tc>
      </w:tr>
      <w:tr w:rsidR="00340ABA" w:rsidRPr="005C06BF" w:rsidTr="004263B3">
        <w:tc>
          <w:tcPr>
            <w:tcW w:w="3888" w:type="dxa"/>
            <w:shd w:val="clear" w:color="auto" w:fill="auto"/>
          </w:tcPr>
          <w:p w:rsidR="00340ABA" w:rsidRDefault="00340ABA" w:rsidP="004263B3">
            <w:pPr>
              <w:jc w:val="both"/>
              <w:rPr>
                <w:sz w:val="22"/>
              </w:rPr>
            </w:pPr>
            <w:r>
              <w:rPr>
                <w:sz w:val="22"/>
              </w:rPr>
              <w:t>Street Revolution</w:t>
            </w:r>
          </w:p>
        </w:tc>
        <w:tc>
          <w:tcPr>
            <w:tcW w:w="1182" w:type="dxa"/>
            <w:shd w:val="clear" w:color="auto" w:fill="auto"/>
          </w:tcPr>
          <w:p w:rsidR="00340ABA" w:rsidRDefault="00340ABA" w:rsidP="004263B3">
            <w:pPr>
              <w:jc w:val="right"/>
              <w:rPr>
                <w:sz w:val="22"/>
              </w:rPr>
            </w:pPr>
            <w:r>
              <w:rPr>
                <w:sz w:val="22"/>
              </w:rPr>
              <w:t>£3,900</w:t>
            </w:r>
          </w:p>
        </w:tc>
        <w:tc>
          <w:tcPr>
            <w:tcW w:w="1417" w:type="dxa"/>
            <w:shd w:val="clear" w:color="auto" w:fill="auto"/>
          </w:tcPr>
          <w:p w:rsidR="00340ABA" w:rsidRDefault="00340ABA" w:rsidP="004263B3">
            <w:pPr>
              <w:jc w:val="right"/>
              <w:rPr>
                <w:sz w:val="22"/>
              </w:rPr>
            </w:pPr>
            <w:r>
              <w:rPr>
                <w:sz w:val="22"/>
              </w:rPr>
              <w:t>£3,900</w:t>
            </w:r>
          </w:p>
        </w:tc>
        <w:tc>
          <w:tcPr>
            <w:tcW w:w="1559" w:type="dxa"/>
          </w:tcPr>
          <w:p w:rsidR="00340ABA" w:rsidRDefault="00340ABA" w:rsidP="004263B3">
            <w:pPr>
              <w:jc w:val="right"/>
              <w:rPr>
                <w:sz w:val="22"/>
              </w:rPr>
            </w:pPr>
            <w:r>
              <w:rPr>
                <w:sz w:val="22"/>
              </w:rPr>
              <w:t>0</w:t>
            </w:r>
          </w:p>
        </w:tc>
        <w:tc>
          <w:tcPr>
            <w:tcW w:w="1701" w:type="dxa"/>
            <w:shd w:val="clear" w:color="auto" w:fill="auto"/>
          </w:tcPr>
          <w:p w:rsidR="00340ABA" w:rsidRDefault="00340ABA" w:rsidP="004263B3">
            <w:pPr>
              <w:jc w:val="right"/>
              <w:rPr>
                <w:sz w:val="22"/>
              </w:rPr>
            </w:pPr>
            <w:r>
              <w:rPr>
                <w:sz w:val="22"/>
              </w:rPr>
              <w:t>0</w:t>
            </w:r>
          </w:p>
        </w:tc>
      </w:tr>
      <w:tr w:rsidR="00340ABA" w:rsidRPr="002426A0" w:rsidTr="004263B3">
        <w:tc>
          <w:tcPr>
            <w:tcW w:w="3888" w:type="dxa"/>
            <w:shd w:val="clear" w:color="auto" w:fill="auto"/>
          </w:tcPr>
          <w:p w:rsidR="00340ABA" w:rsidRPr="000E5128" w:rsidRDefault="00340ABA" w:rsidP="004263B3">
            <w:pPr>
              <w:jc w:val="both"/>
              <w:rPr>
                <w:b/>
                <w:sz w:val="22"/>
              </w:rPr>
            </w:pPr>
            <w:r w:rsidRPr="000E5128">
              <w:rPr>
                <w:b/>
                <w:sz w:val="22"/>
              </w:rPr>
              <w:t xml:space="preserve">                                              Total</w:t>
            </w:r>
          </w:p>
        </w:tc>
        <w:tc>
          <w:tcPr>
            <w:tcW w:w="1182" w:type="dxa"/>
            <w:shd w:val="clear" w:color="auto" w:fill="auto"/>
          </w:tcPr>
          <w:p w:rsidR="00340ABA" w:rsidRPr="000E5128" w:rsidRDefault="00340ABA" w:rsidP="004263B3">
            <w:pPr>
              <w:jc w:val="right"/>
              <w:rPr>
                <w:b/>
                <w:sz w:val="22"/>
              </w:rPr>
            </w:pPr>
            <w:r w:rsidRPr="000E5128">
              <w:rPr>
                <w:b/>
                <w:sz w:val="22"/>
              </w:rPr>
              <w:t>£</w:t>
            </w:r>
            <w:r>
              <w:rPr>
                <w:b/>
                <w:sz w:val="22"/>
              </w:rPr>
              <w:t>780,177</w:t>
            </w:r>
          </w:p>
        </w:tc>
        <w:tc>
          <w:tcPr>
            <w:tcW w:w="1417" w:type="dxa"/>
            <w:shd w:val="clear" w:color="auto" w:fill="auto"/>
          </w:tcPr>
          <w:p w:rsidR="00340ABA" w:rsidRPr="000E5128" w:rsidRDefault="00340ABA" w:rsidP="004263B3">
            <w:pPr>
              <w:jc w:val="right"/>
              <w:rPr>
                <w:b/>
                <w:sz w:val="22"/>
              </w:rPr>
            </w:pPr>
            <w:r w:rsidRPr="000E5128">
              <w:rPr>
                <w:b/>
                <w:sz w:val="22"/>
              </w:rPr>
              <w:t>£</w:t>
            </w:r>
            <w:r>
              <w:rPr>
                <w:b/>
                <w:sz w:val="22"/>
              </w:rPr>
              <w:t>107,197</w:t>
            </w:r>
          </w:p>
        </w:tc>
        <w:tc>
          <w:tcPr>
            <w:tcW w:w="1559" w:type="dxa"/>
          </w:tcPr>
          <w:p w:rsidR="00340ABA" w:rsidRPr="000E5128" w:rsidRDefault="00340ABA" w:rsidP="004263B3">
            <w:pPr>
              <w:jc w:val="right"/>
              <w:rPr>
                <w:b/>
                <w:sz w:val="22"/>
              </w:rPr>
            </w:pPr>
            <w:r>
              <w:rPr>
                <w:b/>
                <w:sz w:val="22"/>
              </w:rPr>
              <w:t>£36,536.10</w:t>
            </w:r>
          </w:p>
        </w:tc>
        <w:tc>
          <w:tcPr>
            <w:tcW w:w="1701" w:type="dxa"/>
            <w:shd w:val="clear" w:color="auto" w:fill="auto"/>
          </w:tcPr>
          <w:p w:rsidR="00340ABA" w:rsidRPr="000E5128" w:rsidRDefault="00340ABA" w:rsidP="004263B3">
            <w:pPr>
              <w:jc w:val="right"/>
              <w:rPr>
                <w:b/>
                <w:sz w:val="22"/>
              </w:rPr>
            </w:pPr>
            <w:r w:rsidRPr="000E5128">
              <w:rPr>
                <w:b/>
                <w:sz w:val="22"/>
              </w:rPr>
              <w:t>£</w:t>
            </w:r>
            <w:r>
              <w:rPr>
                <w:b/>
                <w:sz w:val="22"/>
              </w:rPr>
              <w:t>644,406.90</w:t>
            </w:r>
          </w:p>
        </w:tc>
      </w:tr>
    </w:tbl>
    <w:p w:rsidR="00340ABA" w:rsidRDefault="00340ABA" w:rsidP="00340ABA">
      <w:pPr>
        <w:jc w:val="both"/>
        <w:rPr>
          <w:sz w:val="20"/>
          <w:szCs w:val="20"/>
        </w:rPr>
      </w:pPr>
      <w:r>
        <w:rPr>
          <w:sz w:val="20"/>
          <w:szCs w:val="20"/>
        </w:rPr>
        <w:t xml:space="preserve">NB- business rates are estimated until the business rates have been revalued </w:t>
      </w:r>
    </w:p>
    <w:p w:rsidR="001C02CD" w:rsidRDefault="001C02CD" w:rsidP="00FA37E0">
      <w:pPr>
        <w:spacing w:after="0"/>
        <w:jc w:val="both"/>
      </w:pPr>
    </w:p>
    <w:p w:rsidR="001C02CD" w:rsidRPr="007E69CE" w:rsidRDefault="001C02CD" w:rsidP="00FA37E0">
      <w:pPr>
        <w:spacing w:after="0"/>
        <w:jc w:val="both"/>
      </w:pPr>
    </w:p>
    <w:p w:rsidR="00340ABA" w:rsidRDefault="00340ABA" w:rsidP="00340ABA">
      <w:pPr>
        <w:jc w:val="both"/>
        <w:rPr>
          <w:b/>
        </w:rPr>
      </w:pPr>
      <w:r w:rsidRPr="005C06BF">
        <w:rPr>
          <w:b/>
        </w:rPr>
        <w:t>Climate Change / Environmental Impact</w:t>
      </w:r>
    </w:p>
    <w:p w:rsidR="00340ABA" w:rsidRPr="005C06BF" w:rsidRDefault="00340ABA" w:rsidP="00453F8E">
      <w:pPr>
        <w:pStyle w:val="bParagraphtext"/>
      </w:pPr>
      <w:r>
        <w:t>S</w:t>
      </w:r>
      <w:r w:rsidRPr="005C06BF">
        <w:t xml:space="preserve">uccessful applicants </w:t>
      </w:r>
      <w:r>
        <w:t xml:space="preserve">are made </w:t>
      </w:r>
      <w:r w:rsidRPr="005C06BF">
        <w:t xml:space="preserve">aware of </w:t>
      </w:r>
      <w:r>
        <w:t>the</w:t>
      </w:r>
      <w:r w:rsidRPr="005C06BF">
        <w:t xml:space="preserve"> Council</w:t>
      </w:r>
      <w:r>
        <w:t>’s</w:t>
      </w:r>
      <w:r w:rsidRPr="005C06BF">
        <w:t xml:space="preserve"> </w:t>
      </w:r>
      <w:r>
        <w:t>c</w:t>
      </w:r>
      <w:r w:rsidRPr="005C06BF">
        <w:t>ommitment to reducing its carbon footprint and encourage</w:t>
      </w:r>
      <w:r>
        <w:t>d</w:t>
      </w:r>
      <w:r w:rsidRPr="005C06BF">
        <w:t xml:space="preserve"> to take similar action.</w:t>
      </w:r>
    </w:p>
    <w:p w:rsidR="00FA37E0" w:rsidRDefault="00FA37E0" w:rsidP="00FA37E0">
      <w:pPr>
        <w:spacing w:after="0"/>
        <w:jc w:val="both"/>
        <w:rPr>
          <w:b/>
        </w:rPr>
      </w:pPr>
    </w:p>
    <w:p w:rsidR="00FA37E0" w:rsidRDefault="00FA37E0" w:rsidP="00FA37E0">
      <w:pPr>
        <w:spacing w:after="0"/>
        <w:jc w:val="both"/>
        <w:rPr>
          <w:b/>
        </w:rPr>
      </w:pPr>
    </w:p>
    <w:p w:rsidR="00340ABA" w:rsidRDefault="00340ABA" w:rsidP="00340ABA">
      <w:pPr>
        <w:jc w:val="both"/>
        <w:rPr>
          <w:b/>
        </w:rPr>
      </w:pPr>
      <w:r w:rsidRPr="005C06BF">
        <w:rPr>
          <w:b/>
        </w:rPr>
        <w:t>Equalities Impact</w:t>
      </w:r>
    </w:p>
    <w:p w:rsidR="00340ABA" w:rsidRDefault="00340ABA" w:rsidP="00453F8E">
      <w:pPr>
        <w:pStyle w:val="bParagraphtext"/>
      </w:pPr>
      <w:r>
        <w:t>E</w:t>
      </w:r>
      <w:r w:rsidRPr="005C06BF">
        <w:t>ach organisation must provide their equal opportunities statement to confirm they comply with this legislation and understand their responsibility to promote equality.</w:t>
      </w:r>
    </w:p>
    <w:p w:rsidR="00340ABA" w:rsidRPr="005C06BF" w:rsidRDefault="00340ABA" w:rsidP="00FA37E0">
      <w:pPr>
        <w:spacing w:after="0"/>
        <w:ind w:left="720" w:hanging="720"/>
        <w:jc w:val="both"/>
      </w:pPr>
    </w:p>
    <w:p w:rsidR="00340ABA" w:rsidRPr="005C06BF" w:rsidRDefault="00340ABA" w:rsidP="00453F8E">
      <w:pPr>
        <w:pStyle w:val="bParagraphtext"/>
      </w:pPr>
      <w:r w:rsidRPr="005C06BF">
        <w:t>Some examples of how equality is positively enhanced by the grants programme include</w:t>
      </w:r>
      <w:r>
        <w:t xml:space="preserve"> funding services for</w:t>
      </w:r>
      <w:r w:rsidRPr="005C06BF">
        <w:t>:</w:t>
      </w:r>
    </w:p>
    <w:p w:rsidR="00340ABA" w:rsidRPr="005C06BF" w:rsidRDefault="00340ABA" w:rsidP="00340ABA">
      <w:pPr>
        <w:numPr>
          <w:ilvl w:val="0"/>
          <w:numId w:val="35"/>
        </w:numPr>
        <w:spacing w:after="0"/>
        <w:ind w:left="1491" w:hanging="357"/>
        <w:jc w:val="both"/>
      </w:pPr>
      <w:r>
        <w:t>S</w:t>
      </w:r>
      <w:r w:rsidRPr="005C06BF">
        <w:t xml:space="preserve">urvivors of rape, sexual abuse and domestic violence </w:t>
      </w:r>
    </w:p>
    <w:p w:rsidR="00340ABA" w:rsidRPr="005C06BF" w:rsidRDefault="00340ABA" w:rsidP="00340ABA">
      <w:pPr>
        <w:numPr>
          <w:ilvl w:val="0"/>
          <w:numId w:val="35"/>
        </w:numPr>
        <w:spacing w:after="0"/>
        <w:ind w:left="1491" w:hanging="357"/>
        <w:jc w:val="both"/>
      </w:pPr>
      <w:r>
        <w:t>L</w:t>
      </w:r>
      <w:r w:rsidRPr="005C06BF">
        <w:t>esbian, gay, bisexual and transgender people through recommending continued funding for the Oxford Friend helpline</w:t>
      </w:r>
    </w:p>
    <w:p w:rsidR="00340ABA" w:rsidRDefault="00340ABA" w:rsidP="00340ABA">
      <w:pPr>
        <w:numPr>
          <w:ilvl w:val="0"/>
          <w:numId w:val="35"/>
        </w:numPr>
        <w:spacing w:after="0"/>
        <w:ind w:left="1491" w:hanging="357"/>
        <w:jc w:val="both"/>
      </w:pPr>
      <w:r>
        <w:t>P</w:t>
      </w:r>
      <w:r w:rsidRPr="005C06BF">
        <w:t>eople with disabilities, particularly children and young people with disabilities through recommending funding for Parasol inclusive play</w:t>
      </w:r>
      <w:r>
        <w:t xml:space="preserve"> </w:t>
      </w:r>
    </w:p>
    <w:p w:rsidR="00340ABA" w:rsidRPr="005C06BF" w:rsidRDefault="00340ABA" w:rsidP="00340ABA">
      <w:pPr>
        <w:numPr>
          <w:ilvl w:val="0"/>
          <w:numId w:val="35"/>
        </w:numPr>
        <w:spacing w:after="0"/>
        <w:ind w:left="1491" w:hanging="357"/>
        <w:jc w:val="both"/>
      </w:pPr>
      <w:r>
        <w:t>O</w:t>
      </w:r>
      <w:r w:rsidRPr="005C06BF">
        <w:t xml:space="preserve">lder people, through recommending support for specific activities </w:t>
      </w:r>
    </w:p>
    <w:p w:rsidR="00340ABA" w:rsidRPr="005C06BF" w:rsidRDefault="00340ABA" w:rsidP="00340ABA">
      <w:pPr>
        <w:numPr>
          <w:ilvl w:val="0"/>
          <w:numId w:val="35"/>
        </w:numPr>
        <w:spacing w:after="0"/>
        <w:ind w:left="1491" w:hanging="357"/>
        <w:jc w:val="both"/>
      </w:pPr>
      <w:r w:rsidRPr="005C06BF">
        <w:t>BME groups, through funding dedicated work with asylum seekers and refugees.</w:t>
      </w:r>
    </w:p>
    <w:p w:rsidR="00340ABA" w:rsidRPr="005C06BF" w:rsidRDefault="00340ABA" w:rsidP="00FA37E0">
      <w:pPr>
        <w:spacing w:after="0"/>
        <w:jc w:val="both"/>
      </w:pPr>
    </w:p>
    <w:p w:rsidR="00340ABA" w:rsidRDefault="00340ABA" w:rsidP="00340ABA">
      <w:pPr>
        <w:jc w:val="both"/>
        <w:rPr>
          <w:b/>
        </w:rPr>
      </w:pPr>
      <w:r>
        <w:rPr>
          <w:b/>
        </w:rPr>
        <w:t xml:space="preserve">Level of </w:t>
      </w:r>
      <w:r w:rsidRPr="005C06BF">
        <w:rPr>
          <w:b/>
        </w:rPr>
        <w:t>Risk</w:t>
      </w:r>
    </w:p>
    <w:p w:rsidR="00340ABA" w:rsidRPr="005C06BF" w:rsidRDefault="00340ABA" w:rsidP="00453F8E">
      <w:pPr>
        <w:pStyle w:val="bParagraphtext"/>
      </w:pPr>
      <w:r>
        <w:t>S</w:t>
      </w:r>
      <w:r w:rsidRPr="005C06BF">
        <w:t>uccessful applicant</w:t>
      </w:r>
      <w:r>
        <w:t>s</w:t>
      </w:r>
      <w:r w:rsidRPr="005C06BF">
        <w:t xml:space="preserve"> must agree to and sign terms and conditions</w:t>
      </w:r>
      <w:r>
        <w:t xml:space="preserve"> before funding is released.  W</w:t>
      </w:r>
      <w:r w:rsidRPr="005C06BF">
        <w:t>ithin these terms they must agree to:</w:t>
      </w:r>
    </w:p>
    <w:p w:rsidR="00340ABA" w:rsidRPr="00E93597" w:rsidRDefault="00340ABA" w:rsidP="00FA37E0">
      <w:pPr>
        <w:spacing w:after="0"/>
        <w:jc w:val="both"/>
        <w:rPr>
          <w:sz w:val="20"/>
          <w:szCs w:val="20"/>
        </w:rPr>
      </w:pPr>
    </w:p>
    <w:p w:rsidR="00340ABA" w:rsidRPr="005C06BF" w:rsidRDefault="00340ABA" w:rsidP="00340ABA">
      <w:pPr>
        <w:numPr>
          <w:ilvl w:val="0"/>
          <w:numId w:val="36"/>
        </w:numPr>
        <w:spacing w:after="0"/>
        <w:ind w:left="1491" w:hanging="357"/>
        <w:jc w:val="both"/>
      </w:pPr>
      <w:r w:rsidRPr="005C06BF">
        <w:t>Sp</w:t>
      </w:r>
      <w:r>
        <w:t xml:space="preserve">end the funding on the project </w:t>
      </w:r>
      <w:r w:rsidRPr="005C06BF">
        <w:t>described in their application</w:t>
      </w:r>
    </w:p>
    <w:p w:rsidR="00340ABA" w:rsidRPr="005C06BF" w:rsidRDefault="00340ABA" w:rsidP="00340ABA">
      <w:pPr>
        <w:numPr>
          <w:ilvl w:val="0"/>
          <w:numId w:val="36"/>
        </w:numPr>
        <w:spacing w:after="0"/>
        <w:ind w:left="1491" w:hanging="357"/>
        <w:jc w:val="both"/>
      </w:pPr>
      <w:r>
        <w:t xml:space="preserve">Repay any unspent grant </w:t>
      </w:r>
    </w:p>
    <w:p w:rsidR="00340ABA" w:rsidRPr="005C06BF" w:rsidRDefault="00340ABA" w:rsidP="00340ABA">
      <w:pPr>
        <w:numPr>
          <w:ilvl w:val="0"/>
          <w:numId w:val="36"/>
        </w:numPr>
        <w:spacing w:after="0"/>
        <w:ind w:left="1491" w:hanging="357"/>
        <w:jc w:val="both"/>
      </w:pPr>
      <w:r w:rsidRPr="005C06BF">
        <w:t>Keep financial records and receipts</w:t>
      </w:r>
    </w:p>
    <w:p w:rsidR="00340ABA" w:rsidRPr="00CA2B2F" w:rsidRDefault="00340ABA" w:rsidP="00340ABA">
      <w:pPr>
        <w:numPr>
          <w:ilvl w:val="0"/>
          <w:numId w:val="36"/>
        </w:numPr>
        <w:spacing w:after="0"/>
        <w:ind w:left="1491" w:hanging="357"/>
        <w:jc w:val="both"/>
        <w:rPr>
          <w:sz w:val="20"/>
          <w:szCs w:val="20"/>
        </w:rPr>
      </w:pPr>
      <w:r w:rsidRPr="005C06BF">
        <w:t xml:space="preserve">Return a monitoring form </w:t>
      </w:r>
    </w:p>
    <w:p w:rsidR="00340ABA" w:rsidRPr="00CA2B2F" w:rsidRDefault="00340ABA" w:rsidP="00FA37E0">
      <w:pPr>
        <w:spacing w:after="0"/>
        <w:ind w:left="774"/>
        <w:jc w:val="both"/>
        <w:rPr>
          <w:sz w:val="20"/>
          <w:szCs w:val="20"/>
        </w:rPr>
      </w:pPr>
    </w:p>
    <w:p w:rsidR="00340ABA" w:rsidRPr="005C06BF" w:rsidRDefault="00340ABA" w:rsidP="00453F8E">
      <w:pPr>
        <w:pStyle w:val="bParagraphtext"/>
      </w:pPr>
      <w:r w:rsidRPr="005C06BF">
        <w:t>Each organisation awarded gran</w:t>
      </w:r>
      <w:r>
        <w:t xml:space="preserve">t funding will be monitored by an </w:t>
      </w:r>
      <w:r w:rsidRPr="005C06BF">
        <w:t xml:space="preserve">officer.  Please see Appendix </w:t>
      </w:r>
      <w:r>
        <w:t xml:space="preserve">4 </w:t>
      </w:r>
      <w:r w:rsidRPr="005C06BF">
        <w:t>for the risk register.</w:t>
      </w:r>
    </w:p>
    <w:p w:rsidR="00340ABA" w:rsidRPr="005C06BF" w:rsidRDefault="00340ABA" w:rsidP="00FA37E0">
      <w:pPr>
        <w:spacing w:after="0"/>
        <w:jc w:val="both"/>
      </w:pPr>
    </w:p>
    <w:p w:rsidR="00340ABA" w:rsidRDefault="00340ABA" w:rsidP="00340ABA">
      <w:pPr>
        <w:jc w:val="both"/>
        <w:rPr>
          <w:b/>
        </w:rPr>
      </w:pPr>
      <w:r w:rsidRPr="005C06BF">
        <w:rPr>
          <w:b/>
        </w:rPr>
        <w:t>Financial Impact</w:t>
      </w:r>
    </w:p>
    <w:p w:rsidR="00340ABA" w:rsidRPr="005C06BF" w:rsidRDefault="00453F8E" w:rsidP="00453F8E">
      <w:pPr>
        <w:pStyle w:val="bParagraphtext"/>
      </w:pPr>
      <w:r>
        <w:t>T</w:t>
      </w:r>
      <w:r w:rsidR="00340ABA" w:rsidRPr="005C06BF">
        <w:t>he</w:t>
      </w:r>
      <w:r w:rsidR="00340ABA">
        <w:t xml:space="preserve"> allocations of grant funding as proposed are dependent on agreement of the Council’s budget in February 2017. </w:t>
      </w:r>
    </w:p>
    <w:p w:rsidR="00340ABA" w:rsidRDefault="00340ABA" w:rsidP="00FA37E0">
      <w:pPr>
        <w:spacing w:after="0"/>
        <w:jc w:val="both"/>
      </w:pPr>
    </w:p>
    <w:p w:rsidR="00340ABA" w:rsidRDefault="00340ABA" w:rsidP="00453F8E">
      <w:pPr>
        <w:pStyle w:val="bParagraphtext"/>
      </w:pPr>
      <w:r>
        <w:t>The total amount of the grants budget currently recommended in this report is £988,691 because £7,732 has been allocated for a small grants programme that will take place during 2017/18 (see Table 1 above) and a report will be submitted to the City Executive Board in March 2017 with the proposed allocations for both the Preventing Homelessness grant and the Council’s Homelessness grant commissioning budget (£442,279) to voluntary sector organisations working with rough sleepers and homeless people.</w:t>
      </w:r>
    </w:p>
    <w:p w:rsidR="001C02CD" w:rsidRPr="00744F72" w:rsidRDefault="001C02CD" w:rsidP="00FA37E0">
      <w:pPr>
        <w:spacing w:after="0"/>
        <w:jc w:val="both"/>
      </w:pPr>
    </w:p>
    <w:p w:rsidR="00340ABA" w:rsidRDefault="00340ABA" w:rsidP="00340ABA">
      <w:pPr>
        <w:jc w:val="both"/>
        <w:rPr>
          <w:b/>
        </w:rPr>
      </w:pPr>
      <w:r w:rsidRPr="005C06BF">
        <w:rPr>
          <w:b/>
        </w:rPr>
        <w:t>Legal Imp</w:t>
      </w:r>
      <w:r>
        <w:rPr>
          <w:b/>
        </w:rPr>
        <w:t>lications</w:t>
      </w:r>
    </w:p>
    <w:p w:rsidR="00E206D6" w:rsidRPr="00453F8E" w:rsidRDefault="00340ABA" w:rsidP="00453F8E">
      <w:pPr>
        <w:pStyle w:val="bParagraphtext"/>
      </w:pPr>
      <w:r>
        <w:t>There are no legal implications of this report</w:t>
      </w:r>
      <w:r>
        <w:rPr>
          <w:rFonts w:cs="Arial"/>
        </w:rPr>
        <w:t>.</w:t>
      </w:r>
    </w:p>
    <w:p w:rsidR="00453F8E" w:rsidRDefault="00453F8E" w:rsidP="00453F8E">
      <w:pPr>
        <w:pStyle w:val="bParagraphtext"/>
        <w:numPr>
          <w:ilvl w:val="0"/>
          <w:numId w:val="0"/>
        </w:numPr>
        <w:ind w:left="426" w:hanging="426"/>
        <w:rPr>
          <w:rFonts w:cs="Arial"/>
        </w:rPr>
      </w:pPr>
    </w:p>
    <w:p w:rsidR="00453F8E" w:rsidRPr="001356F1" w:rsidRDefault="00453F8E" w:rsidP="00453F8E">
      <w:pPr>
        <w:pStyle w:val="bParagraphtext"/>
        <w:numPr>
          <w:ilvl w:val="0"/>
          <w:numId w:val="0"/>
        </w:numPr>
        <w:ind w:left="426" w:hanging="426"/>
      </w:pPr>
    </w:p>
    <w:p w:rsidR="002329CF" w:rsidRPr="001356F1" w:rsidRDefault="002329CF" w:rsidP="00340ABA">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A37E0" w:rsidP="00A46E98">
            <w:r>
              <w:t>Julia Tomkins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A37E0" w:rsidP="00A46E98">
            <w:r>
              <w:t>Grant &amp; External Funding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A37E0"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A37E0" w:rsidP="00FA37E0">
            <w:r>
              <w:t>01865 252685</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53F8E" w:rsidP="00FA37E0">
            <w:pPr>
              <w:rPr>
                <w:rStyle w:val="Hyperlink"/>
                <w:color w:val="000000"/>
              </w:rPr>
            </w:pPr>
            <w:hyperlink r:id="rId9" w:history="1">
              <w:r w:rsidR="00FA37E0" w:rsidRPr="009B1590">
                <w:rPr>
                  <w:rStyle w:val="Hyperlink"/>
                </w:rPr>
                <w:t>jtomkins@oxford.gov.uk</w:t>
              </w:r>
            </w:hyperlink>
            <w:r w:rsidR="00FA37E0">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AF" w:rsidRDefault="004609AF" w:rsidP="004A6D2F">
      <w:r>
        <w:separator/>
      </w:r>
    </w:p>
  </w:endnote>
  <w:endnote w:type="continuationSeparator" w:id="0">
    <w:p w:rsidR="004609AF" w:rsidRDefault="004609A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AF" w:rsidRDefault="004609AF" w:rsidP="004A6D2F">
      <w:r>
        <w:separator/>
      </w:r>
    </w:p>
  </w:footnote>
  <w:footnote w:type="continuationSeparator" w:id="0">
    <w:p w:rsidR="004609AF" w:rsidRDefault="004609A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609AF"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514AD"/>
    <w:multiLevelType w:val="hybridMultilevel"/>
    <w:tmpl w:val="ED58F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201D67"/>
    <w:multiLevelType w:val="hybridMultilevel"/>
    <w:tmpl w:val="821E1EDA"/>
    <w:lvl w:ilvl="0" w:tplc="08090001">
      <w:start w:val="1"/>
      <w:numFmt w:val="bullet"/>
      <w:lvlText w:val=""/>
      <w:lvlJc w:val="left"/>
      <w:pPr>
        <w:tabs>
          <w:tab w:val="num" w:pos="1179"/>
        </w:tabs>
        <w:ind w:left="1179" w:hanging="360"/>
      </w:pPr>
      <w:rPr>
        <w:rFonts w:ascii="Symbol" w:hAnsi="Symbol" w:hint="default"/>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6464F"/>
    <w:multiLevelType w:val="hybridMultilevel"/>
    <w:tmpl w:val="DB6674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62D0A"/>
    <w:multiLevelType w:val="hybridMultilevel"/>
    <w:tmpl w:val="D4EC0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C86268"/>
    <w:multiLevelType w:val="hybridMultilevel"/>
    <w:tmpl w:val="195C6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9"/>
  </w:num>
  <w:num w:numId="2">
    <w:abstractNumId w:val="34"/>
  </w:num>
  <w:num w:numId="3">
    <w:abstractNumId w:val="25"/>
  </w:num>
  <w:num w:numId="4">
    <w:abstractNumId w:val="20"/>
  </w:num>
  <w:num w:numId="5">
    <w:abstractNumId w:val="31"/>
  </w:num>
  <w:num w:numId="6">
    <w:abstractNumId w:val="36"/>
  </w:num>
  <w:num w:numId="7">
    <w:abstractNumId w:val="24"/>
  </w:num>
  <w:num w:numId="8">
    <w:abstractNumId w:val="21"/>
  </w:num>
  <w:num w:numId="9">
    <w:abstractNumId w:val="14"/>
  </w:num>
  <w:num w:numId="10">
    <w:abstractNumId w:val="16"/>
  </w:num>
  <w:num w:numId="11">
    <w:abstractNumId w:val="28"/>
  </w:num>
  <w:num w:numId="12">
    <w:abstractNumId w:val="26"/>
  </w:num>
  <w:num w:numId="13">
    <w:abstractNumId w:val="11"/>
  </w:num>
  <w:num w:numId="14">
    <w:abstractNumId w:val="37"/>
  </w:num>
  <w:num w:numId="15">
    <w:abstractNumId w:val="17"/>
  </w:num>
  <w:num w:numId="16">
    <w:abstractNumId w:val="12"/>
  </w:num>
  <w:num w:numId="17">
    <w:abstractNumId w:val="30"/>
  </w:num>
  <w:num w:numId="18">
    <w:abstractNumId w:val="13"/>
  </w:num>
  <w:num w:numId="19">
    <w:abstractNumId w:val="32"/>
  </w:num>
  <w:num w:numId="20">
    <w:abstractNumId w:val="18"/>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9"/>
  </w:num>
  <w:num w:numId="36">
    <w:abstractNumId w:val="10"/>
  </w:num>
  <w:num w:numId="37">
    <w:abstractNumId w:val="35"/>
  </w:num>
  <w:num w:numId="3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AF"/>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02CD"/>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40ABA"/>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3B3"/>
    <w:rsid w:val="004268B9"/>
    <w:rsid w:val="00433B96"/>
    <w:rsid w:val="004440F1"/>
    <w:rsid w:val="004456DD"/>
    <w:rsid w:val="00446CDF"/>
    <w:rsid w:val="004521B7"/>
    <w:rsid w:val="00453F8E"/>
    <w:rsid w:val="004609AF"/>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0FF4"/>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A51"/>
    <w:rsid w:val="00803F07"/>
    <w:rsid w:val="0080749A"/>
    <w:rsid w:val="00821FB8"/>
    <w:rsid w:val="00822ACD"/>
    <w:rsid w:val="00855C66"/>
    <w:rsid w:val="00871EE4"/>
    <w:rsid w:val="008B293F"/>
    <w:rsid w:val="008B7371"/>
    <w:rsid w:val="008D3DDB"/>
    <w:rsid w:val="008E456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466A9"/>
    <w:rsid w:val="00F65114"/>
    <w:rsid w:val="00F66DCA"/>
    <w:rsid w:val="00F74F53"/>
    <w:rsid w:val="00F7606D"/>
    <w:rsid w:val="00F81670"/>
    <w:rsid w:val="00F82024"/>
    <w:rsid w:val="00F82FB6"/>
    <w:rsid w:val="00F95BC9"/>
    <w:rsid w:val="00FA37E0"/>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tomkin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unities%20and%20Neighbourhoods\Roles%20and%20Responsibilities\Grants%20and%20External%20Funding%20Officer\Grants\Grants%20Current\Grants\CEB%2009.02.17%20%20-%20recommendations%20for%202017-18%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1CA7-549C-4033-BB17-3073C51A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09.02.17  - recommendations for 2017-18 V2</Template>
  <TotalTime>12</TotalTime>
  <Pages>7</Pages>
  <Words>1744</Words>
  <Characters>10244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11965</CharactersWithSpaces>
  <SharedDoc>false</SharedDoc>
  <HLinks>
    <vt:vector size="6" baseType="variant">
      <vt:variant>
        <vt:i4>3473501</vt:i4>
      </vt:variant>
      <vt:variant>
        <vt:i4>0</vt:i4>
      </vt:variant>
      <vt:variant>
        <vt:i4>0</vt:i4>
      </vt:variant>
      <vt:variant>
        <vt:i4>5</vt:i4>
      </vt:variant>
      <vt:variant>
        <vt:lpwstr>mailto:jtomkins@oxford.gov.uk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sclaridge</cp:lastModifiedBy>
  <cp:revision>4</cp:revision>
  <cp:lastPrinted>2015-07-03T13:50:00Z</cp:lastPrinted>
  <dcterms:created xsi:type="dcterms:W3CDTF">2017-01-13T11:14:00Z</dcterms:created>
  <dcterms:modified xsi:type="dcterms:W3CDTF">2017-01-31T16:52:00Z</dcterms:modified>
</cp:coreProperties>
</file>